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D771B" w14:textId="77777777" w:rsidR="001764E9" w:rsidRDefault="001764E9" w:rsidP="001764E9">
      <w:pPr>
        <w:spacing w:after="0" w:line="240" w:lineRule="auto"/>
        <w:jc w:val="center"/>
        <w:rPr>
          <w:i/>
        </w:rPr>
      </w:pPr>
      <w:r>
        <w:rPr>
          <w:rFonts w:cs="Arial"/>
          <w:noProof/>
        </w:rPr>
        <w:drawing>
          <wp:inline distT="0" distB="0" distL="0" distR="0" wp14:anchorId="7EAFFE88" wp14:editId="4ABB2AD2">
            <wp:extent cx="3538989" cy="3533775"/>
            <wp:effectExtent l="0" t="0" r="4445" b="0"/>
            <wp:docPr id="409437182"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37182" name="Picture 1" descr="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2172" cy="3536953"/>
                    </a:xfrm>
                    <a:prstGeom prst="rect">
                      <a:avLst/>
                    </a:prstGeom>
                    <a:noFill/>
                  </pic:spPr>
                </pic:pic>
              </a:graphicData>
            </a:graphic>
          </wp:inline>
        </w:drawing>
      </w:r>
    </w:p>
    <w:p w14:paraId="72430232" w14:textId="77777777" w:rsidR="001764E9" w:rsidRDefault="001764E9" w:rsidP="001764E9">
      <w:pPr>
        <w:spacing w:after="0" w:line="240" w:lineRule="auto"/>
        <w:jc w:val="center"/>
        <w:rPr>
          <w:i/>
        </w:rPr>
      </w:pPr>
    </w:p>
    <w:p w14:paraId="28AAC7A8" w14:textId="77777777" w:rsidR="001764E9" w:rsidRDefault="001764E9" w:rsidP="001764E9">
      <w:pPr>
        <w:spacing w:after="0" w:line="240" w:lineRule="auto"/>
        <w:jc w:val="center"/>
        <w:rPr>
          <w:i/>
        </w:rPr>
      </w:pPr>
    </w:p>
    <w:p w14:paraId="16AD632A" w14:textId="77777777" w:rsidR="001764E9" w:rsidRDefault="001764E9" w:rsidP="001764E9">
      <w:pPr>
        <w:spacing w:after="0" w:line="240" w:lineRule="auto"/>
        <w:jc w:val="center"/>
        <w:rPr>
          <w:i/>
        </w:rPr>
      </w:pPr>
    </w:p>
    <w:p w14:paraId="1247F76F" w14:textId="77777777" w:rsidR="001764E9" w:rsidRPr="006B23C0" w:rsidRDefault="001764E9" w:rsidP="001764E9">
      <w:pPr>
        <w:spacing w:after="0" w:line="240" w:lineRule="auto"/>
        <w:jc w:val="center"/>
        <w:rPr>
          <w:rFonts w:cs="Arial"/>
          <w:b/>
          <w:bCs/>
          <w:sz w:val="36"/>
          <w:szCs w:val="36"/>
        </w:rPr>
      </w:pPr>
      <w:r w:rsidRPr="006B23C0">
        <w:rPr>
          <w:rFonts w:cs="Arial"/>
          <w:b/>
          <w:bCs/>
          <w:sz w:val="36"/>
          <w:szCs w:val="36"/>
        </w:rPr>
        <w:t>City of Evansville, I</w:t>
      </w:r>
      <w:r>
        <w:rPr>
          <w:rFonts w:cs="Arial"/>
          <w:b/>
          <w:bCs/>
          <w:sz w:val="36"/>
          <w:szCs w:val="36"/>
        </w:rPr>
        <w:t>ndiana</w:t>
      </w:r>
    </w:p>
    <w:p w14:paraId="6DEC29F9" w14:textId="47FC0315" w:rsidR="001764E9" w:rsidRPr="006B23C0" w:rsidRDefault="001764E9" w:rsidP="001764E9">
      <w:pPr>
        <w:spacing w:after="0" w:line="240" w:lineRule="auto"/>
        <w:jc w:val="center"/>
        <w:rPr>
          <w:rFonts w:cs="Arial"/>
          <w:b/>
          <w:bCs/>
          <w:sz w:val="36"/>
          <w:szCs w:val="36"/>
        </w:rPr>
      </w:pPr>
      <w:r>
        <w:rPr>
          <w:rFonts w:cs="Arial"/>
          <w:b/>
          <w:bCs/>
          <w:sz w:val="36"/>
          <w:szCs w:val="36"/>
        </w:rPr>
        <w:t xml:space="preserve">Consolidated Annual Performance </w:t>
      </w:r>
      <w:proofErr w:type="spellStart"/>
      <w:r>
        <w:rPr>
          <w:rFonts w:cs="Arial"/>
          <w:b/>
          <w:bCs/>
          <w:sz w:val="36"/>
          <w:szCs w:val="36"/>
        </w:rPr>
        <w:t>Evalutaion</w:t>
      </w:r>
      <w:proofErr w:type="spellEnd"/>
      <w:r>
        <w:rPr>
          <w:rFonts w:cs="Arial"/>
          <w:b/>
          <w:bCs/>
          <w:sz w:val="36"/>
          <w:szCs w:val="36"/>
        </w:rPr>
        <w:t xml:space="preserve"> Report</w:t>
      </w:r>
    </w:p>
    <w:p w14:paraId="18132EB2" w14:textId="21565A53" w:rsidR="001764E9" w:rsidRDefault="001764E9" w:rsidP="001764E9">
      <w:pPr>
        <w:spacing w:after="0" w:line="240" w:lineRule="auto"/>
        <w:jc w:val="center"/>
        <w:rPr>
          <w:rFonts w:cs="Arial"/>
          <w:b/>
          <w:bCs/>
          <w:sz w:val="36"/>
          <w:szCs w:val="36"/>
        </w:rPr>
      </w:pPr>
      <w:r w:rsidRPr="006B23C0">
        <w:rPr>
          <w:rFonts w:cs="Arial"/>
          <w:b/>
          <w:bCs/>
          <w:sz w:val="36"/>
          <w:szCs w:val="36"/>
        </w:rPr>
        <w:t>Program Year 202</w:t>
      </w:r>
      <w:r>
        <w:rPr>
          <w:rFonts w:cs="Arial"/>
          <w:b/>
          <w:bCs/>
          <w:sz w:val="36"/>
          <w:szCs w:val="36"/>
        </w:rPr>
        <w:t>4</w:t>
      </w:r>
    </w:p>
    <w:p w14:paraId="32F3123F" w14:textId="77777777" w:rsidR="001764E9" w:rsidRDefault="001764E9" w:rsidP="001764E9">
      <w:pPr>
        <w:spacing w:after="0" w:line="240" w:lineRule="auto"/>
        <w:jc w:val="center"/>
        <w:rPr>
          <w:rFonts w:cs="Arial"/>
          <w:b/>
          <w:bCs/>
          <w:sz w:val="36"/>
          <w:szCs w:val="36"/>
        </w:rPr>
      </w:pPr>
    </w:p>
    <w:p w14:paraId="209800D4" w14:textId="70C4EF75" w:rsidR="001764E9" w:rsidRPr="001764E9" w:rsidRDefault="001764E9" w:rsidP="001764E9">
      <w:pPr>
        <w:spacing w:after="0" w:line="240" w:lineRule="auto"/>
        <w:jc w:val="center"/>
        <w:rPr>
          <w:b/>
          <w:bCs/>
          <w:color w:val="EE0000"/>
          <w:sz w:val="32"/>
          <w:szCs w:val="32"/>
        </w:rPr>
      </w:pPr>
      <w:r w:rsidRPr="001764E9">
        <w:rPr>
          <w:b/>
          <w:bCs/>
          <w:color w:val="EE0000"/>
          <w:sz w:val="32"/>
          <w:szCs w:val="32"/>
        </w:rPr>
        <w:t>Draft Date – 8/22/25</w:t>
      </w:r>
    </w:p>
    <w:p w14:paraId="3E1779C7" w14:textId="77777777" w:rsidR="001764E9" w:rsidRDefault="001764E9" w:rsidP="001764E9">
      <w:pPr>
        <w:spacing w:after="0" w:line="240" w:lineRule="auto"/>
        <w:jc w:val="center"/>
        <w:rPr>
          <w:sz w:val="32"/>
          <w:szCs w:val="32"/>
        </w:rPr>
      </w:pPr>
    </w:p>
    <w:p w14:paraId="02647FC3" w14:textId="77777777" w:rsidR="001764E9" w:rsidRPr="00912FCA" w:rsidRDefault="001764E9" w:rsidP="001764E9">
      <w:pPr>
        <w:spacing w:after="0" w:line="240" w:lineRule="auto"/>
        <w:jc w:val="center"/>
        <w:rPr>
          <w:b/>
          <w:bCs/>
          <w:sz w:val="28"/>
          <w:szCs w:val="28"/>
        </w:rPr>
      </w:pPr>
      <w:r w:rsidRPr="00912FCA">
        <w:rPr>
          <w:b/>
          <w:bCs/>
          <w:sz w:val="28"/>
          <w:szCs w:val="28"/>
        </w:rPr>
        <w:t xml:space="preserve">Prepared by </w:t>
      </w:r>
      <w:r>
        <w:rPr>
          <w:b/>
          <w:bCs/>
          <w:sz w:val="28"/>
          <w:szCs w:val="28"/>
        </w:rPr>
        <w:t xml:space="preserve">the </w:t>
      </w:r>
      <w:r w:rsidRPr="00912FCA">
        <w:rPr>
          <w:b/>
          <w:bCs/>
          <w:sz w:val="28"/>
          <w:szCs w:val="28"/>
        </w:rPr>
        <w:t>Department of Metropolitan Development</w:t>
      </w:r>
      <w:r>
        <w:rPr>
          <w:b/>
          <w:bCs/>
          <w:sz w:val="28"/>
          <w:szCs w:val="28"/>
        </w:rPr>
        <w:t>:</w:t>
      </w:r>
    </w:p>
    <w:p w14:paraId="64861EE6" w14:textId="77777777" w:rsidR="001764E9" w:rsidRPr="00912FCA" w:rsidRDefault="001764E9" w:rsidP="001764E9">
      <w:pPr>
        <w:spacing w:after="0" w:line="240" w:lineRule="auto"/>
        <w:jc w:val="center"/>
        <w:rPr>
          <w:rFonts w:eastAsia="Times New Roman"/>
          <w:b/>
          <w:bCs/>
          <w:sz w:val="28"/>
          <w:szCs w:val="28"/>
        </w:rPr>
      </w:pPr>
      <w:r w:rsidRPr="00912FCA">
        <w:rPr>
          <w:rFonts w:eastAsia="Times New Roman"/>
          <w:b/>
          <w:bCs/>
          <w:sz w:val="28"/>
          <w:szCs w:val="28"/>
        </w:rPr>
        <w:t>306 Civic Center Complex</w:t>
      </w:r>
    </w:p>
    <w:p w14:paraId="085C4D34" w14:textId="77777777" w:rsidR="001764E9" w:rsidRPr="00912FCA" w:rsidRDefault="001764E9" w:rsidP="001764E9">
      <w:pPr>
        <w:spacing w:after="0" w:line="240" w:lineRule="auto"/>
        <w:jc w:val="center"/>
        <w:rPr>
          <w:rFonts w:eastAsia="Times New Roman"/>
          <w:b/>
          <w:bCs/>
          <w:sz w:val="28"/>
          <w:szCs w:val="28"/>
        </w:rPr>
      </w:pPr>
      <w:r w:rsidRPr="00912FCA">
        <w:rPr>
          <w:rFonts w:eastAsia="Times New Roman"/>
          <w:b/>
          <w:bCs/>
          <w:sz w:val="28"/>
          <w:szCs w:val="28"/>
        </w:rPr>
        <w:t>1 N.W. Martin Luther King Jr. Blvd.</w:t>
      </w:r>
    </w:p>
    <w:p w14:paraId="580A80BB" w14:textId="77777777" w:rsidR="001764E9" w:rsidRDefault="001764E9" w:rsidP="001764E9">
      <w:pPr>
        <w:spacing w:after="0" w:line="240" w:lineRule="auto"/>
        <w:jc w:val="center"/>
        <w:rPr>
          <w:rFonts w:eastAsia="Times New Roman"/>
          <w:b/>
          <w:bCs/>
          <w:sz w:val="28"/>
          <w:szCs w:val="28"/>
        </w:rPr>
      </w:pPr>
      <w:r w:rsidRPr="00912FCA">
        <w:rPr>
          <w:rFonts w:eastAsia="Times New Roman"/>
          <w:b/>
          <w:bCs/>
          <w:sz w:val="28"/>
          <w:szCs w:val="28"/>
        </w:rPr>
        <w:t>Evansville, IN 47708</w:t>
      </w:r>
    </w:p>
    <w:p w14:paraId="70DA5502" w14:textId="77777777" w:rsidR="001764E9" w:rsidRDefault="001764E9" w:rsidP="001764E9">
      <w:pPr>
        <w:spacing w:after="0" w:line="240" w:lineRule="auto"/>
        <w:jc w:val="center"/>
        <w:rPr>
          <w:i/>
        </w:rPr>
      </w:pPr>
    </w:p>
    <w:p w14:paraId="5CA90E52" w14:textId="0D513020" w:rsidR="001764E9" w:rsidRDefault="001764E9" w:rsidP="001764E9">
      <w:pPr>
        <w:spacing w:after="0" w:line="240" w:lineRule="auto"/>
        <w:jc w:val="center"/>
        <w:rPr>
          <w:i/>
        </w:rPr>
        <w:sectPr w:rsidR="001764E9" w:rsidSect="001764E9">
          <w:footerReference w:type="default" r:id="rId9"/>
          <w:pgSz w:w="12240" w:h="15840"/>
          <w:pgMar w:top="1440" w:right="1440" w:bottom="1440" w:left="1440" w:header="720" w:footer="720" w:gutter="0"/>
          <w:cols w:space="720"/>
          <w:docGrid w:linePitch="360"/>
        </w:sectPr>
      </w:pPr>
    </w:p>
    <w:p w14:paraId="300ECA1D" w14:textId="77777777" w:rsidR="001764E9" w:rsidRDefault="001764E9">
      <w:pPr>
        <w:spacing w:after="0" w:line="240" w:lineRule="auto"/>
        <w:rPr>
          <w:i/>
        </w:rPr>
        <w:sectPr w:rsidR="001764E9" w:rsidSect="001764E9">
          <w:pgSz w:w="15840" w:h="12240" w:orient="landscape"/>
          <w:pgMar w:top="1440" w:right="1440" w:bottom="1440" w:left="1440" w:header="720" w:footer="720" w:gutter="0"/>
          <w:cols w:space="720"/>
          <w:docGrid w:linePitch="360"/>
        </w:sectPr>
      </w:pPr>
    </w:p>
    <w:p w14:paraId="5F4F9E4C" w14:textId="426C9114" w:rsidR="001764E9" w:rsidRDefault="001764E9">
      <w:pPr>
        <w:spacing w:after="0" w:line="240" w:lineRule="auto"/>
        <w:rPr>
          <w:rFonts w:cs="Arial"/>
          <w:b/>
          <w:bCs/>
          <w:iCs/>
          <w:sz w:val="28"/>
          <w:szCs w:val="28"/>
        </w:rPr>
      </w:pPr>
    </w:p>
    <w:p w14:paraId="3AFBCC2C" w14:textId="32DCE526" w:rsidR="003B314F" w:rsidRDefault="001764E9">
      <w:pPr>
        <w:pStyle w:val="Heading2"/>
        <w:rPr>
          <w:rFonts w:ascii="Calibri" w:hAnsi="Calibri"/>
          <w:i w:val="0"/>
        </w:rPr>
      </w:pPr>
      <w:r>
        <w:rPr>
          <w:rFonts w:ascii="Calibri" w:hAnsi="Calibri"/>
          <w:i w:val="0"/>
        </w:rPr>
        <w:t>CR-05 - Goals and Outcomes</w:t>
      </w:r>
    </w:p>
    <w:p w14:paraId="68D484AE" w14:textId="77777777" w:rsidR="003B314F" w:rsidRDefault="001764E9">
      <w:pPr>
        <w:keepNext/>
        <w:widowControl w:val="0"/>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14:paraId="3BF2F91A" w14:textId="77777777" w:rsidR="003B314F" w:rsidRDefault="001764E9">
      <w:pPr>
        <w:keepNext/>
        <w:widowControl w:val="0"/>
        <w:spacing w:after="0" w:line="240" w:lineRule="auto"/>
      </w:pPr>
      <w:r>
        <w:t>This could be an overview that includes major initiatives and highlights that were proposed and executed throughout the program year.</w:t>
      </w:r>
    </w:p>
    <w:p w14:paraId="734B37E1" w14:textId="77777777" w:rsidR="003B314F" w:rsidRDefault="003B314F">
      <w:pPr>
        <w:keepNext/>
        <w:widowControl w:val="0"/>
        <w:spacing w:after="0" w:line="240" w:lineRule="auto"/>
        <w:rPr>
          <w:b/>
        </w:rPr>
      </w:pPr>
    </w:p>
    <w:p w14:paraId="27AB9FFC" w14:textId="77777777" w:rsidR="003B314F" w:rsidRDefault="001764E9">
      <w:pPr>
        <w:widowControl w:val="0"/>
        <w:spacing w:beforeAutospacing="1" w:afterAutospacing="1"/>
        <w:rPr>
          <w:szCs w:val="24"/>
        </w:rPr>
      </w:pPr>
      <w:r>
        <w:t xml:space="preserve">This Consolidated Annual Performance Evaluation Report (CAPER) for the City of </w:t>
      </w:r>
      <w:proofErr w:type="spellStart"/>
      <w:r>
        <w:t>Evanville</w:t>
      </w:r>
      <w:proofErr w:type="spellEnd"/>
      <w:r>
        <w:t xml:space="preserve"> covers the reporting period from July 1, </w:t>
      </w:r>
      <w:proofErr w:type="gramStart"/>
      <w:r>
        <w:t>2024</w:t>
      </w:r>
      <w:proofErr w:type="gramEnd"/>
      <w:r>
        <w:t xml:space="preserve"> through June 30, 2025, which is the City of Evansville’s Fiscal Year (FY) 2024. The CAPER is a summary of accomplishments that occurred in this timeframe, as well as an accounting of the allocation and expenditure of funds under the 2020-2024 Consolidated Plan. The 2024 CAPER is the fifth and final program year-end report of the five-year plan. The 2024 CAPER public meeting was held on August 22nd, </w:t>
      </w:r>
      <w:proofErr w:type="gramStart"/>
      <w:r>
        <w:t>2025</w:t>
      </w:r>
      <w:proofErr w:type="gramEnd"/>
      <w:r>
        <w:t xml:space="preserve"> and </w:t>
      </w:r>
      <w:r>
        <w:rPr>
          <w:b/>
        </w:rPr>
        <w:t>(one will be selected):</w:t>
      </w:r>
    </w:p>
    <w:p w14:paraId="7E255A17" w14:textId="77777777" w:rsidR="003B314F" w:rsidRDefault="001764E9">
      <w:pPr>
        <w:widowControl w:val="0"/>
        <w:spacing w:beforeAutospacing="1" w:afterAutospacing="1"/>
        <w:rPr>
          <w:szCs w:val="24"/>
        </w:rPr>
      </w:pPr>
      <w:r>
        <w:rPr>
          <w:b/>
        </w:rPr>
        <w:t>No comments were received during the 30-day public comment period that followed.</w:t>
      </w:r>
    </w:p>
    <w:p w14:paraId="79FE127F" w14:textId="77777777" w:rsidR="003B314F" w:rsidRDefault="001764E9">
      <w:pPr>
        <w:widowControl w:val="0"/>
        <w:spacing w:beforeAutospacing="1" w:afterAutospacing="1"/>
        <w:rPr>
          <w:szCs w:val="24"/>
        </w:rPr>
      </w:pPr>
      <w:r>
        <w:rPr>
          <w:b/>
        </w:rPr>
        <w:t>Or</w:t>
      </w:r>
    </w:p>
    <w:p w14:paraId="231892F1" w14:textId="77777777" w:rsidR="003B314F" w:rsidRDefault="001764E9">
      <w:pPr>
        <w:widowControl w:val="0"/>
        <w:spacing w:beforeAutospacing="1" w:afterAutospacing="1"/>
        <w:rPr>
          <w:szCs w:val="24"/>
        </w:rPr>
      </w:pPr>
      <w:r>
        <w:rPr>
          <w:b/>
        </w:rPr>
        <w:t>Public comments were received and are summarized in the attachment at CR-00.</w:t>
      </w:r>
    </w:p>
    <w:p w14:paraId="00C9E452" w14:textId="77777777" w:rsidR="003B314F" w:rsidRDefault="001764E9">
      <w:pPr>
        <w:widowControl w:val="0"/>
        <w:spacing w:beforeAutospacing="1" w:afterAutospacing="1"/>
        <w:rPr>
          <w:szCs w:val="24"/>
        </w:rPr>
      </w:pPr>
      <w:r>
        <w:t xml:space="preserve">COVID-19 funds (CDBG-CV and ESG-CV) were added as a substantial amendment to the Fiscal Year 2019. Some expenditures were claimed during the 2023 Program Year. At the time of this report, approximately 94% of CDBG-CV has been expended, and 100% of ESG-CV has been expended. The expenditure </w:t>
      </w:r>
      <w:proofErr w:type="spellStart"/>
      <w:r>
        <w:t>dealine</w:t>
      </w:r>
      <w:proofErr w:type="spellEnd"/>
      <w:r>
        <w:t xml:space="preserve"> for remaining 6% of Cares Act funds is 5/27/2026.</w:t>
      </w:r>
    </w:p>
    <w:p w14:paraId="5C48DD2D" w14:textId="77777777" w:rsidR="003B314F" w:rsidRDefault="001764E9">
      <w:pPr>
        <w:widowControl w:val="0"/>
        <w:spacing w:beforeAutospacing="1" w:afterAutospacing="1"/>
        <w:rPr>
          <w:szCs w:val="24"/>
        </w:rPr>
      </w:pPr>
      <w:r>
        <w:t xml:space="preserve">HOME-ARP funds were made available in the 2021 Program Year, and the City of Evansville HOME-ARP plan was approved in the 2021 Program Year. Two HOME-ARP funded affordable housing development projects have been completed. The remaining HOME-ARP funds, 16% of the original allocated amount, will be utilized for Supportive Services to be provided within these </w:t>
      </w:r>
      <w:proofErr w:type="gramStart"/>
      <w:r>
        <w:t>units  for</w:t>
      </w:r>
      <w:proofErr w:type="gramEnd"/>
      <w:r>
        <w:t xml:space="preserve"> qualifying populations and for Administrative/Planning activities.</w:t>
      </w:r>
    </w:p>
    <w:p w14:paraId="7259FAD0" w14:textId="77777777" w:rsidR="003B314F" w:rsidRDefault="001764E9">
      <w:pPr>
        <w:widowControl w:val="0"/>
        <w:spacing w:beforeAutospacing="1" w:afterAutospacing="1"/>
        <w:rPr>
          <w:szCs w:val="24"/>
        </w:rPr>
      </w:pPr>
      <w:r>
        <w:t>Information reported below was generated from the IDIS reports: 2024 CDBG and HOME Summary of Accomplishments (PR-03 and PR-23).</w:t>
      </w:r>
    </w:p>
    <w:p w14:paraId="00F7DF59" w14:textId="77777777" w:rsidR="003B314F" w:rsidRDefault="001764E9">
      <w:pPr>
        <w:keepNext/>
        <w:widowControl w:val="0"/>
        <w:spacing w:after="0" w:line="240" w:lineRule="auto"/>
        <w:rPr>
          <w:b/>
          <w:sz w:val="24"/>
          <w:szCs w:val="24"/>
        </w:rPr>
      </w:pPr>
      <w:r>
        <w:rPr>
          <w:b/>
          <w:sz w:val="24"/>
          <w:szCs w:val="24"/>
        </w:rPr>
        <w:lastRenderedPageBreak/>
        <w:t>Comparison of the proposed versus actual outcomes for each outcome measure submitted with the consolidated plan and explain, if applicable, why progress was not made toward meeting goals and objectives.  91.520(g)</w:t>
      </w:r>
    </w:p>
    <w:p w14:paraId="40400E75" w14:textId="77777777" w:rsidR="003B314F" w:rsidRDefault="001764E9">
      <w:pPr>
        <w:keepNext/>
        <w:widowControl w:val="0"/>
        <w:spacing w:after="0" w:line="240" w:lineRule="auto"/>
        <w:rPr>
          <w:szCs w:val="24"/>
        </w:rPr>
      </w:pPr>
      <w:r>
        <w:t>Categories, priority levels, funding sources and amounts, outcomes/objectives, goal outcome indicators, units of measure, targets, actual outcomes/outputs, and percentage completed for each of the grantee’s program year goals.</w:t>
      </w:r>
    </w:p>
    <w:p w14:paraId="74777006" w14:textId="77777777" w:rsidR="003B314F" w:rsidRDefault="003B314F">
      <w:pPr>
        <w:widowControl w:val="0"/>
        <w:rPr>
          <w:b/>
          <w:sz w:val="24"/>
          <w:szCs w:val="24"/>
        </w:rPr>
      </w:pPr>
    </w:p>
    <w:tbl>
      <w:tblPr>
        <w:tblStyle w:val="TableGrid"/>
        <w:tblW w:w="13728" w:type="dxa"/>
        <w:tblInd w:w="0" w:type="dxa"/>
        <w:tblLook w:val="04A0" w:firstRow="1" w:lastRow="0" w:firstColumn="1" w:lastColumn="0" w:noHBand="0" w:noVBand="1"/>
      </w:tblPr>
      <w:tblGrid>
        <w:gridCol w:w="1704"/>
        <w:gridCol w:w="1433"/>
        <w:gridCol w:w="1001"/>
        <w:gridCol w:w="2450"/>
        <w:gridCol w:w="1267"/>
        <w:gridCol w:w="976"/>
        <w:gridCol w:w="949"/>
        <w:gridCol w:w="1021"/>
        <w:gridCol w:w="976"/>
        <w:gridCol w:w="930"/>
        <w:gridCol w:w="1021"/>
      </w:tblGrid>
      <w:tr w:rsidR="003B314F" w14:paraId="062B9225" w14:textId="77777777">
        <w:tc>
          <w:tcPr>
            <w:tcW w:w="1248" w:type="dxa"/>
          </w:tcPr>
          <w:p w14:paraId="25119376" w14:textId="77777777" w:rsidR="003B314F" w:rsidRDefault="001764E9">
            <w:pPr>
              <w:keepNext/>
              <w:widowControl w:val="0"/>
              <w:spacing w:after="0" w:line="240" w:lineRule="auto"/>
              <w:rPr>
                <w:b/>
              </w:rPr>
            </w:pPr>
            <w:r>
              <w:rPr>
                <w:b/>
              </w:rPr>
              <w:t>Goal</w:t>
            </w:r>
          </w:p>
        </w:tc>
        <w:tc>
          <w:tcPr>
            <w:tcW w:w="1248" w:type="dxa"/>
          </w:tcPr>
          <w:p w14:paraId="2E52E452" w14:textId="77777777" w:rsidR="003B314F" w:rsidRDefault="001764E9">
            <w:pPr>
              <w:keepNext/>
              <w:widowControl w:val="0"/>
              <w:spacing w:after="0" w:line="240" w:lineRule="auto"/>
              <w:rPr>
                <w:b/>
              </w:rPr>
            </w:pPr>
            <w:r>
              <w:rPr>
                <w:b/>
              </w:rPr>
              <w:t>Category</w:t>
            </w:r>
          </w:p>
        </w:tc>
        <w:tc>
          <w:tcPr>
            <w:tcW w:w="1248" w:type="dxa"/>
          </w:tcPr>
          <w:p w14:paraId="3D0DD815" w14:textId="77777777" w:rsidR="003B314F" w:rsidRDefault="001764E9">
            <w:pPr>
              <w:keepNext/>
              <w:widowControl w:val="0"/>
              <w:spacing w:after="0" w:line="240" w:lineRule="auto"/>
              <w:rPr>
                <w:b/>
              </w:rPr>
            </w:pPr>
            <w:r>
              <w:rPr>
                <w:b/>
              </w:rPr>
              <w:t>Source / Amount</w:t>
            </w:r>
          </w:p>
        </w:tc>
        <w:tc>
          <w:tcPr>
            <w:tcW w:w="1248" w:type="dxa"/>
          </w:tcPr>
          <w:p w14:paraId="5727839B" w14:textId="77777777" w:rsidR="003B314F" w:rsidRDefault="001764E9">
            <w:pPr>
              <w:keepNext/>
              <w:widowControl w:val="0"/>
              <w:spacing w:after="0" w:line="240" w:lineRule="auto"/>
              <w:rPr>
                <w:b/>
              </w:rPr>
            </w:pPr>
            <w:r>
              <w:rPr>
                <w:b/>
              </w:rPr>
              <w:t>Indicator</w:t>
            </w:r>
          </w:p>
        </w:tc>
        <w:tc>
          <w:tcPr>
            <w:tcW w:w="1248" w:type="dxa"/>
          </w:tcPr>
          <w:p w14:paraId="21F0B351" w14:textId="77777777" w:rsidR="003B314F" w:rsidRDefault="001764E9">
            <w:pPr>
              <w:keepNext/>
              <w:widowControl w:val="0"/>
              <w:spacing w:after="0" w:line="240" w:lineRule="auto"/>
              <w:rPr>
                <w:b/>
              </w:rPr>
            </w:pPr>
            <w:r>
              <w:rPr>
                <w:b/>
              </w:rPr>
              <w:t>Unit of Measure</w:t>
            </w:r>
          </w:p>
        </w:tc>
        <w:tc>
          <w:tcPr>
            <w:tcW w:w="1248" w:type="dxa"/>
          </w:tcPr>
          <w:p w14:paraId="2A1BF462" w14:textId="77777777" w:rsidR="003B314F" w:rsidRDefault="001764E9">
            <w:pPr>
              <w:keepNext/>
              <w:widowControl w:val="0"/>
              <w:spacing w:after="0" w:line="240" w:lineRule="auto"/>
              <w:rPr>
                <w:b/>
              </w:rPr>
            </w:pPr>
            <w:r>
              <w:rPr>
                <w:b/>
              </w:rPr>
              <w:t>Expected – Strategic Plan</w:t>
            </w:r>
          </w:p>
        </w:tc>
        <w:tc>
          <w:tcPr>
            <w:tcW w:w="1248" w:type="dxa"/>
          </w:tcPr>
          <w:p w14:paraId="0D7B11CC" w14:textId="77777777" w:rsidR="003B314F" w:rsidRDefault="001764E9">
            <w:pPr>
              <w:keepNext/>
              <w:widowControl w:val="0"/>
              <w:spacing w:after="0" w:line="240" w:lineRule="auto"/>
              <w:rPr>
                <w:b/>
              </w:rPr>
            </w:pPr>
            <w:r>
              <w:rPr>
                <w:b/>
              </w:rPr>
              <w:t>Actual – Strategic Plan</w:t>
            </w:r>
          </w:p>
        </w:tc>
        <w:tc>
          <w:tcPr>
            <w:tcW w:w="1248" w:type="dxa"/>
          </w:tcPr>
          <w:p w14:paraId="45666972" w14:textId="77777777" w:rsidR="003B314F" w:rsidRDefault="001764E9">
            <w:pPr>
              <w:keepNext/>
              <w:widowControl w:val="0"/>
              <w:spacing w:after="0" w:line="240" w:lineRule="auto"/>
              <w:rPr>
                <w:b/>
              </w:rPr>
            </w:pPr>
            <w:r>
              <w:rPr>
                <w:b/>
              </w:rPr>
              <w:t>Percent Complete</w:t>
            </w:r>
          </w:p>
        </w:tc>
        <w:tc>
          <w:tcPr>
            <w:tcW w:w="1248" w:type="dxa"/>
          </w:tcPr>
          <w:p w14:paraId="04E805F2" w14:textId="77777777" w:rsidR="003B314F" w:rsidRDefault="001764E9">
            <w:pPr>
              <w:keepNext/>
              <w:widowControl w:val="0"/>
              <w:spacing w:after="0" w:line="240" w:lineRule="auto"/>
              <w:rPr>
                <w:b/>
              </w:rPr>
            </w:pPr>
            <w:r>
              <w:rPr>
                <w:b/>
              </w:rPr>
              <w:t>Expected – Program Year</w:t>
            </w:r>
          </w:p>
        </w:tc>
        <w:tc>
          <w:tcPr>
            <w:tcW w:w="1248" w:type="dxa"/>
          </w:tcPr>
          <w:p w14:paraId="5438CBFC" w14:textId="77777777" w:rsidR="003B314F" w:rsidRDefault="001764E9">
            <w:pPr>
              <w:keepNext/>
              <w:widowControl w:val="0"/>
              <w:spacing w:after="0" w:line="240" w:lineRule="auto"/>
              <w:rPr>
                <w:b/>
              </w:rPr>
            </w:pPr>
            <w:r>
              <w:rPr>
                <w:b/>
              </w:rPr>
              <w:t>Actual – Program Year</w:t>
            </w:r>
          </w:p>
        </w:tc>
        <w:tc>
          <w:tcPr>
            <w:tcW w:w="1248" w:type="dxa"/>
          </w:tcPr>
          <w:p w14:paraId="21F66FCB" w14:textId="77777777" w:rsidR="003B314F" w:rsidRDefault="001764E9">
            <w:pPr>
              <w:keepNext/>
              <w:widowControl w:val="0"/>
              <w:spacing w:after="0" w:line="240" w:lineRule="auto"/>
              <w:rPr>
                <w:b/>
              </w:rPr>
            </w:pPr>
            <w:r>
              <w:rPr>
                <w:b/>
              </w:rPr>
              <w:t>Percent Complete</w:t>
            </w:r>
          </w:p>
        </w:tc>
      </w:tr>
      <w:tr w:rsidR="003B314F" w14:paraId="06743E3C" w14:textId="77777777">
        <w:trPr>
          <w:cantSplit/>
        </w:trPr>
        <w:tc>
          <w:tcPr>
            <w:tcW w:w="0" w:type="auto"/>
            <w:vAlign w:val="center"/>
          </w:tcPr>
          <w:p w14:paraId="50924F49" w14:textId="77777777" w:rsidR="003B314F" w:rsidRDefault="001764E9">
            <w:pPr>
              <w:spacing w:beforeAutospacing="1" w:afterAutospacing="1"/>
            </w:pPr>
            <w:r>
              <w:rPr>
                <w:color w:val="000000"/>
                <w:sz w:val="22"/>
              </w:rPr>
              <w:t>Increase Affordable Housing for Homeownership</w:t>
            </w:r>
          </w:p>
        </w:tc>
        <w:tc>
          <w:tcPr>
            <w:tcW w:w="0" w:type="auto"/>
            <w:vAlign w:val="center"/>
          </w:tcPr>
          <w:p w14:paraId="17F8860E" w14:textId="77777777" w:rsidR="003B314F" w:rsidRDefault="001764E9">
            <w:pPr>
              <w:spacing w:beforeAutospacing="1" w:afterAutospacing="1"/>
            </w:pPr>
            <w:r>
              <w:rPr>
                <w:color w:val="000000"/>
                <w:sz w:val="22"/>
              </w:rPr>
              <w:t>Affordable Housing</w:t>
            </w:r>
          </w:p>
        </w:tc>
        <w:tc>
          <w:tcPr>
            <w:tcW w:w="0" w:type="auto"/>
            <w:vAlign w:val="center"/>
          </w:tcPr>
          <w:p w14:paraId="343B7518" w14:textId="77777777" w:rsidR="003B314F" w:rsidRDefault="001764E9">
            <w:pPr>
              <w:spacing w:beforeAutospacing="1" w:afterAutospacing="1"/>
            </w:pPr>
            <w:r>
              <w:rPr>
                <w:color w:val="000000"/>
                <w:sz w:val="22"/>
              </w:rPr>
              <w:t>CDBG: $ / HOME: $</w:t>
            </w:r>
          </w:p>
        </w:tc>
        <w:tc>
          <w:tcPr>
            <w:tcW w:w="0" w:type="auto"/>
            <w:vAlign w:val="center"/>
          </w:tcPr>
          <w:p w14:paraId="6807E16C" w14:textId="77777777" w:rsidR="003B314F" w:rsidRDefault="001764E9">
            <w:pPr>
              <w:spacing w:beforeAutospacing="1" w:afterAutospacing="1"/>
            </w:pPr>
            <w:r>
              <w:rPr>
                <w:color w:val="000000"/>
                <w:sz w:val="22"/>
              </w:rPr>
              <w:t>Public service activities for Low/Moderate Income Housing Benefit</w:t>
            </w:r>
          </w:p>
        </w:tc>
        <w:tc>
          <w:tcPr>
            <w:tcW w:w="0" w:type="auto"/>
            <w:vAlign w:val="center"/>
          </w:tcPr>
          <w:p w14:paraId="115FE5EC" w14:textId="77777777" w:rsidR="003B314F" w:rsidRDefault="001764E9">
            <w:pPr>
              <w:spacing w:beforeAutospacing="1" w:afterAutospacing="1"/>
            </w:pPr>
            <w:r>
              <w:rPr>
                <w:color w:val="000000"/>
                <w:sz w:val="22"/>
              </w:rPr>
              <w:t>Households Assisted</w:t>
            </w:r>
          </w:p>
        </w:tc>
        <w:tc>
          <w:tcPr>
            <w:tcW w:w="0" w:type="auto"/>
            <w:vAlign w:val="center"/>
          </w:tcPr>
          <w:p w14:paraId="2704419D" w14:textId="77777777" w:rsidR="003B314F" w:rsidRDefault="001764E9">
            <w:pPr>
              <w:spacing w:beforeAutospacing="1" w:afterAutospacing="1"/>
            </w:pPr>
            <w:r>
              <w:rPr>
                <w:color w:val="000000"/>
                <w:sz w:val="22"/>
              </w:rPr>
              <w:t>0</w:t>
            </w:r>
          </w:p>
        </w:tc>
        <w:tc>
          <w:tcPr>
            <w:tcW w:w="0" w:type="auto"/>
            <w:vAlign w:val="center"/>
          </w:tcPr>
          <w:p w14:paraId="6955E452" w14:textId="77777777" w:rsidR="003B314F" w:rsidRDefault="001764E9">
            <w:pPr>
              <w:spacing w:beforeAutospacing="1" w:afterAutospacing="1"/>
            </w:pPr>
            <w:r>
              <w:rPr>
                <w:color w:val="000000"/>
                <w:sz w:val="22"/>
              </w:rPr>
              <w:t>12</w:t>
            </w:r>
          </w:p>
        </w:tc>
        <w:tc>
          <w:tcPr>
            <w:tcW w:w="0" w:type="auto"/>
            <w:vAlign w:val="center"/>
          </w:tcPr>
          <w:p w14:paraId="1F251826" w14:textId="77777777" w:rsidR="003B314F" w:rsidRDefault="001764E9">
            <w:pPr>
              <w:spacing w:beforeAutospacing="1" w:afterAutospacing="1"/>
            </w:pPr>
            <w:r>
              <w:rPr>
                <w:color w:val="000000"/>
                <w:sz w:val="22"/>
              </w:rPr>
              <w:t xml:space="preserve"> </w:t>
            </w:r>
          </w:p>
        </w:tc>
        <w:tc>
          <w:tcPr>
            <w:tcW w:w="0" w:type="auto"/>
            <w:vAlign w:val="center"/>
          </w:tcPr>
          <w:p w14:paraId="6D1C3508" w14:textId="77777777" w:rsidR="003B314F" w:rsidRDefault="001764E9">
            <w:pPr>
              <w:spacing w:beforeAutospacing="1" w:afterAutospacing="1"/>
            </w:pPr>
            <w:r>
              <w:rPr>
                <w:color w:val="000000"/>
                <w:sz w:val="22"/>
              </w:rPr>
              <w:t>0</w:t>
            </w:r>
          </w:p>
        </w:tc>
        <w:tc>
          <w:tcPr>
            <w:tcW w:w="0" w:type="auto"/>
            <w:vAlign w:val="center"/>
          </w:tcPr>
          <w:p w14:paraId="6E2B5BD4" w14:textId="77777777" w:rsidR="003B314F" w:rsidRDefault="001764E9">
            <w:pPr>
              <w:spacing w:beforeAutospacing="1" w:afterAutospacing="1"/>
            </w:pPr>
            <w:r>
              <w:rPr>
                <w:color w:val="000000"/>
                <w:sz w:val="22"/>
              </w:rPr>
              <w:t>12</w:t>
            </w:r>
          </w:p>
        </w:tc>
        <w:tc>
          <w:tcPr>
            <w:tcW w:w="0" w:type="auto"/>
            <w:vAlign w:val="center"/>
          </w:tcPr>
          <w:p w14:paraId="106ED1D3" w14:textId="77777777" w:rsidR="003B314F" w:rsidRDefault="001764E9">
            <w:pPr>
              <w:spacing w:beforeAutospacing="1" w:afterAutospacing="1"/>
            </w:pPr>
            <w:r>
              <w:rPr>
                <w:color w:val="000000"/>
                <w:sz w:val="22"/>
              </w:rPr>
              <w:t xml:space="preserve"> </w:t>
            </w:r>
          </w:p>
        </w:tc>
      </w:tr>
      <w:tr w:rsidR="003B314F" w14:paraId="0BF189B3" w14:textId="77777777">
        <w:trPr>
          <w:cantSplit/>
        </w:trPr>
        <w:tc>
          <w:tcPr>
            <w:tcW w:w="0" w:type="auto"/>
            <w:vAlign w:val="center"/>
          </w:tcPr>
          <w:p w14:paraId="34842837" w14:textId="77777777" w:rsidR="003B314F" w:rsidRDefault="001764E9">
            <w:pPr>
              <w:spacing w:beforeAutospacing="1" w:afterAutospacing="1"/>
            </w:pPr>
            <w:r>
              <w:rPr>
                <w:color w:val="000000"/>
                <w:sz w:val="22"/>
              </w:rPr>
              <w:t>Increase Affordable Housing for Homeownership</w:t>
            </w:r>
          </w:p>
        </w:tc>
        <w:tc>
          <w:tcPr>
            <w:tcW w:w="0" w:type="auto"/>
            <w:vAlign w:val="center"/>
          </w:tcPr>
          <w:p w14:paraId="4D078418" w14:textId="77777777" w:rsidR="003B314F" w:rsidRDefault="001764E9">
            <w:pPr>
              <w:spacing w:beforeAutospacing="1" w:afterAutospacing="1"/>
            </w:pPr>
            <w:r>
              <w:rPr>
                <w:color w:val="000000"/>
                <w:sz w:val="22"/>
              </w:rPr>
              <w:t>Affordable Housing</w:t>
            </w:r>
          </w:p>
        </w:tc>
        <w:tc>
          <w:tcPr>
            <w:tcW w:w="0" w:type="auto"/>
            <w:vAlign w:val="center"/>
          </w:tcPr>
          <w:p w14:paraId="34637CD0" w14:textId="77777777" w:rsidR="003B314F" w:rsidRDefault="001764E9">
            <w:pPr>
              <w:spacing w:beforeAutospacing="1" w:afterAutospacing="1"/>
            </w:pPr>
            <w:r>
              <w:rPr>
                <w:color w:val="000000"/>
                <w:sz w:val="22"/>
              </w:rPr>
              <w:t>CDBG: $ / HOME: $</w:t>
            </w:r>
          </w:p>
        </w:tc>
        <w:tc>
          <w:tcPr>
            <w:tcW w:w="0" w:type="auto"/>
            <w:vAlign w:val="center"/>
          </w:tcPr>
          <w:p w14:paraId="67B80736" w14:textId="77777777" w:rsidR="003B314F" w:rsidRDefault="001764E9">
            <w:pPr>
              <w:spacing w:beforeAutospacing="1" w:afterAutospacing="1"/>
            </w:pPr>
            <w:r>
              <w:rPr>
                <w:color w:val="000000"/>
                <w:sz w:val="22"/>
              </w:rPr>
              <w:t>Homeowner Housing Added</w:t>
            </w:r>
          </w:p>
        </w:tc>
        <w:tc>
          <w:tcPr>
            <w:tcW w:w="0" w:type="auto"/>
            <w:vAlign w:val="center"/>
          </w:tcPr>
          <w:p w14:paraId="19F97FAE" w14:textId="77777777" w:rsidR="003B314F" w:rsidRDefault="001764E9">
            <w:pPr>
              <w:spacing w:beforeAutospacing="1" w:afterAutospacing="1"/>
            </w:pPr>
            <w:r>
              <w:rPr>
                <w:color w:val="000000"/>
                <w:sz w:val="22"/>
              </w:rPr>
              <w:t>Household Housing Unit</w:t>
            </w:r>
          </w:p>
        </w:tc>
        <w:tc>
          <w:tcPr>
            <w:tcW w:w="0" w:type="auto"/>
            <w:vAlign w:val="center"/>
          </w:tcPr>
          <w:p w14:paraId="13A4009E" w14:textId="77777777" w:rsidR="003B314F" w:rsidRDefault="001764E9">
            <w:pPr>
              <w:spacing w:beforeAutospacing="1" w:afterAutospacing="1"/>
            </w:pPr>
            <w:r>
              <w:rPr>
                <w:color w:val="000000"/>
                <w:sz w:val="22"/>
              </w:rPr>
              <w:t>120</w:t>
            </w:r>
          </w:p>
        </w:tc>
        <w:tc>
          <w:tcPr>
            <w:tcW w:w="0" w:type="auto"/>
            <w:vAlign w:val="center"/>
          </w:tcPr>
          <w:p w14:paraId="15B86F0A" w14:textId="77777777" w:rsidR="003B314F" w:rsidRDefault="001764E9">
            <w:pPr>
              <w:spacing w:beforeAutospacing="1" w:afterAutospacing="1"/>
            </w:pPr>
            <w:r>
              <w:rPr>
                <w:color w:val="000000"/>
                <w:sz w:val="22"/>
              </w:rPr>
              <w:t>6</w:t>
            </w:r>
          </w:p>
        </w:tc>
        <w:tc>
          <w:tcPr>
            <w:tcW w:w="0" w:type="auto"/>
            <w:vAlign w:val="center"/>
          </w:tcPr>
          <w:p w14:paraId="5F888A9A" w14:textId="77777777" w:rsidR="003B314F" w:rsidRDefault="001764E9">
            <w:pPr>
              <w:spacing w:beforeAutospacing="1" w:afterAutospacing="1"/>
            </w:pPr>
            <w:r>
              <w:rPr>
                <w:color w:val="000000"/>
                <w:sz w:val="22"/>
              </w:rPr>
              <w:t xml:space="preserve">         5.00%</w:t>
            </w:r>
          </w:p>
        </w:tc>
        <w:tc>
          <w:tcPr>
            <w:tcW w:w="0" w:type="auto"/>
            <w:vAlign w:val="center"/>
          </w:tcPr>
          <w:p w14:paraId="143A2A16" w14:textId="77777777" w:rsidR="003B314F" w:rsidRDefault="001764E9">
            <w:pPr>
              <w:spacing w:beforeAutospacing="1" w:afterAutospacing="1"/>
            </w:pPr>
            <w:r>
              <w:rPr>
                <w:color w:val="000000"/>
                <w:sz w:val="22"/>
              </w:rPr>
              <w:t>3</w:t>
            </w:r>
          </w:p>
        </w:tc>
        <w:tc>
          <w:tcPr>
            <w:tcW w:w="0" w:type="auto"/>
            <w:vAlign w:val="center"/>
          </w:tcPr>
          <w:p w14:paraId="166D564D" w14:textId="77777777" w:rsidR="003B314F" w:rsidRDefault="001764E9">
            <w:pPr>
              <w:spacing w:beforeAutospacing="1" w:afterAutospacing="1"/>
            </w:pPr>
            <w:r>
              <w:rPr>
                <w:color w:val="000000"/>
                <w:sz w:val="22"/>
              </w:rPr>
              <w:t>0</w:t>
            </w:r>
          </w:p>
        </w:tc>
        <w:tc>
          <w:tcPr>
            <w:tcW w:w="0" w:type="auto"/>
            <w:vAlign w:val="center"/>
          </w:tcPr>
          <w:p w14:paraId="7B94864F" w14:textId="77777777" w:rsidR="003B314F" w:rsidRDefault="001764E9">
            <w:pPr>
              <w:spacing w:beforeAutospacing="1" w:afterAutospacing="1"/>
            </w:pPr>
            <w:r>
              <w:rPr>
                <w:color w:val="000000"/>
                <w:sz w:val="22"/>
              </w:rPr>
              <w:t xml:space="preserve">         0.00%</w:t>
            </w:r>
          </w:p>
        </w:tc>
      </w:tr>
      <w:tr w:rsidR="003B314F" w14:paraId="0157576A" w14:textId="77777777">
        <w:trPr>
          <w:cantSplit/>
        </w:trPr>
        <w:tc>
          <w:tcPr>
            <w:tcW w:w="0" w:type="auto"/>
            <w:vAlign w:val="center"/>
          </w:tcPr>
          <w:p w14:paraId="4C3C5B63" w14:textId="77777777" w:rsidR="003B314F" w:rsidRDefault="001764E9">
            <w:pPr>
              <w:spacing w:beforeAutospacing="1" w:afterAutospacing="1"/>
            </w:pPr>
            <w:r>
              <w:rPr>
                <w:color w:val="000000"/>
                <w:sz w:val="22"/>
              </w:rPr>
              <w:t>Increase Affordable Housing for Homeownership</w:t>
            </w:r>
          </w:p>
        </w:tc>
        <w:tc>
          <w:tcPr>
            <w:tcW w:w="0" w:type="auto"/>
            <w:vAlign w:val="center"/>
          </w:tcPr>
          <w:p w14:paraId="428ACA1E" w14:textId="77777777" w:rsidR="003B314F" w:rsidRDefault="001764E9">
            <w:pPr>
              <w:spacing w:beforeAutospacing="1" w:afterAutospacing="1"/>
            </w:pPr>
            <w:r>
              <w:rPr>
                <w:color w:val="000000"/>
                <w:sz w:val="22"/>
              </w:rPr>
              <w:t>Affordable Housing</w:t>
            </w:r>
          </w:p>
        </w:tc>
        <w:tc>
          <w:tcPr>
            <w:tcW w:w="0" w:type="auto"/>
            <w:vAlign w:val="center"/>
          </w:tcPr>
          <w:p w14:paraId="6178C2FA" w14:textId="77777777" w:rsidR="003B314F" w:rsidRDefault="001764E9">
            <w:pPr>
              <w:spacing w:beforeAutospacing="1" w:afterAutospacing="1"/>
            </w:pPr>
            <w:r>
              <w:rPr>
                <w:color w:val="000000"/>
                <w:sz w:val="22"/>
              </w:rPr>
              <w:t>CDBG: $ / HOME: $</w:t>
            </w:r>
          </w:p>
        </w:tc>
        <w:tc>
          <w:tcPr>
            <w:tcW w:w="0" w:type="auto"/>
            <w:vAlign w:val="center"/>
          </w:tcPr>
          <w:p w14:paraId="70DCE81A" w14:textId="77777777" w:rsidR="003B314F" w:rsidRDefault="001764E9">
            <w:pPr>
              <w:spacing w:beforeAutospacing="1" w:afterAutospacing="1"/>
            </w:pPr>
            <w:r>
              <w:rPr>
                <w:color w:val="000000"/>
                <w:sz w:val="22"/>
              </w:rPr>
              <w:t>Homeowner Housing Rehabilitated</w:t>
            </w:r>
          </w:p>
        </w:tc>
        <w:tc>
          <w:tcPr>
            <w:tcW w:w="0" w:type="auto"/>
            <w:vAlign w:val="center"/>
          </w:tcPr>
          <w:p w14:paraId="65C1343D" w14:textId="77777777" w:rsidR="003B314F" w:rsidRDefault="001764E9">
            <w:pPr>
              <w:spacing w:beforeAutospacing="1" w:afterAutospacing="1"/>
            </w:pPr>
            <w:r>
              <w:rPr>
                <w:color w:val="000000"/>
                <w:sz w:val="22"/>
              </w:rPr>
              <w:t>Household Housing Unit</w:t>
            </w:r>
          </w:p>
        </w:tc>
        <w:tc>
          <w:tcPr>
            <w:tcW w:w="0" w:type="auto"/>
            <w:vAlign w:val="center"/>
          </w:tcPr>
          <w:p w14:paraId="3FFDFFAC" w14:textId="77777777" w:rsidR="003B314F" w:rsidRDefault="001764E9">
            <w:pPr>
              <w:spacing w:beforeAutospacing="1" w:afterAutospacing="1"/>
            </w:pPr>
            <w:r>
              <w:rPr>
                <w:color w:val="000000"/>
                <w:sz w:val="22"/>
              </w:rPr>
              <w:t>200</w:t>
            </w:r>
          </w:p>
        </w:tc>
        <w:tc>
          <w:tcPr>
            <w:tcW w:w="0" w:type="auto"/>
            <w:vAlign w:val="center"/>
          </w:tcPr>
          <w:p w14:paraId="0E463876" w14:textId="77777777" w:rsidR="003B314F" w:rsidRDefault="001764E9">
            <w:pPr>
              <w:spacing w:beforeAutospacing="1" w:afterAutospacing="1"/>
            </w:pPr>
            <w:r>
              <w:rPr>
                <w:color w:val="000000"/>
                <w:sz w:val="22"/>
              </w:rPr>
              <w:t>66</w:t>
            </w:r>
          </w:p>
        </w:tc>
        <w:tc>
          <w:tcPr>
            <w:tcW w:w="0" w:type="auto"/>
            <w:vAlign w:val="center"/>
          </w:tcPr>
          <w:p w14:paraId="36F0CB94" w14:textId="77777777" w:rsidR="003B314F" w:rsidRDefault="001764E9">
            <w:pPr>
              <w:spacing w:beforeAutospacing="1" w:afterAutospacing="1"/>
            </w:pPr>
            <w:r>
              <w:rPr>
                <w:color w:val="000000"/>
                <w:sz w:val="22"/>
              </w:rPr>
              <w:t xml:space="preserve">        33.00%</w:t>
            </w:r>
          </w:p>
        </w:tc>
        <w:tc>
          <w:tcPr>
            <w:tcW w:w="0" w:type="auto"/>
            <w:vAlign w:val="center"/>
          </w:tcPr>
          <w:p w14:paraId="4EBEB5E5" w14:textId="77777777" w:rsidR="003B314F" w:rsidRDefault="001764E9">
            <w:pPr>
              <w:spacing w:beforeAutospacing="1" w:afterAutospacing="1"/>
            </w:pPr>
            <w:r>
              <w:rPr>
                <w:color w:val="000000"/>
                <w:sz w:val="22"/>
              </w:rPr>
              <w:t>25</w:t>
            </w:r>
          </w:p>
        </w:tc>
        <w:tc>
          <w:tcPr>
            <w:tcW w:w="0" w:type="auto"/>
            <w:vAlign w:val="center"/>
          </w:tcPr>
          <w:p w14:paraId="0554F6D3" w14:textId="77777777" w:rsidR="003B314F" w:rsidRDefault="001764E9">
            <w:pPr>
              <w:spacing w:beforeAutospacing="1" w:afterAutospacing="1"/>
            </w:pPr>
            <w:r>
              <w:rPr>
                <w:color w:val="000000"/>
                <w:sz w:val="22"/>
              </w:rPr>
              <w:t>6</w:t>
            </w:r>
          </w:p>
        </w:tc>
        <w:tc>
          <w:tcPr>
            <w:tcW w:w="0" w:type="auto"/>
            <w:vAlign w:val="center"/>
          </w:tcPr>
          <w:p w14:paraId="278DADF5" w14:textId="77777777" w:rsidR="003B314F" w:rsidRDefault="001764E9">
            <w:pPr>
              <w:spacing w:beforeAutospacing="1" w:afterAutospacing="1"/>
            </w:pPr>
            <w:r>
              <w:rPr>
                <w:color w:val="000000"/>
                <w:sz w:val="22"/>
              </w:rPr>
              <w:t xml:space="preserve">        24.00%</w:t>
            </w:r>
          </w:p>
        </w:tc>
      </w:tr>
      <w:tr w:rsidR="003B314F" w14:paraId="707E5FD7" w14:textId="77777777">
        <w:trPr>
          <w:cantSplit/>
        </w:trPr>
        <w:tc>
          <w:tcPr>
            <w:tcW w:w="0" w:type="auto"/>
            <w:vAlign w:val="center"/>
          </w:tcPr>
          <w:p w14:paraId="0EC134F5" w14:textId="77777777" w:rsidR="003B314F" w:rsidRDefault="001764E9">
            <w:pPr>
              <w:spacing w:beforeAutospacing="1" w:afterAutospacing="1"/>
            </w:pPr>
            <w:r>
              <w:rPr>
                <w:color w:val="000000"/>
                <w:sz w:val="22"/>
              </w:rPr>
              <w:t>Increase Affordable Housing for Homeownership</w:t>
            </w:r>
          </w:p>
        </w:tc>
        <w:tc>
          <w:tcPr>
            <w:tcW w:w="0" w:type="auto"/>
            <w:vAlign w:val="center"/>
          </w:tcPr>
          <w:p w14:paraId="25195E5E" w14:textId="77777777" w:rsidR="003B314F" w:rsidRDefault="001764E9">
            <w:pPr>
              <w:spacing w:beforeAutospacing="1" w:afterAutospacing="1"/>
            </w:pPr>
            <w:r>
              <w:rPr>
                <w:color w:val="000000"/>
                <w:sz w:val="22"/>
              </w:rPr>
              <w:t>Affordable Housing</w:t>
            </w:r>
          </w:p>
        </w:tc>
        <w:tc>
          <w:tcPr>
            <w:tcW w:w="0" w:type="auto"/>
            <w:vAlign w:val="center"/>
          </w:tcPr>
          <w:p w14:paraId="59460670" w14:textId="77777777" w:rsidR="003B314F" w:rsidRDefault="001764E9">
            <w:pPr>
              <w:spacing w:beforeAutospacing="1" w:afterAutospacing="1"/>
            </w:pPr>
            <w:r>
              <w:rPr>
                <w:color w:val="000000"/>
                <w:sz w:val="22"/>
              </w:rPr>
              <w:t>CDBG: $ / HOME: $</w:t>
            </w:r>
          </w:p>
        </w:tc>
        <w:tc>
          <w:tcPr>
            <w:tcW w:w="0" w:type="auto"/>
            <w:vAlign w:val="center"/>
          </w:tcPr>
          <w:p w14:paraId="6E71E76A" w14:textId="77777777" w:rsidR="003B314F" w:rsidRDefault="001764E9">
            <w:pPr>
              <w:spacing w:beforeAutospacing="1" w:afterAutospacing="1"/>
            </w:pPr>
            <w:r>
              <w:rPr>
                <w:color w:val="000000"/>
                <w:sz w:val="22"/>
              </w:rPr>
              <w:t>Direct Financial Assistance to Homebuyers</w:t>
            </w:r>
          </w:p>
        </w:tc>
        <w:tc>
          <w:tcPr>
            <w:tcW w:w="0" w:type="auto"/>
            <w:vAlign w:val="center"/>
          </w:tcPr>
          <w:p w14:paraId="22C7C53F" w14:textId="77777777" w:rsidR="003B314F" w:rsidRDefault="001764E9">
            <w:pPr>
              <w:spacing w:beforeAutospacing="1" w:afterAutospacing="1"/>
            </w:pPr>
            <w:r>
              <w:rPr>
                <w:color w:val="000000"/>
                <w:sz w:val="22"/>
              </w:rPr>
              <w:t>Households Assisted</w:t>
            </w:r>
          </w:p>
        </w:tc>
        <w:tc>
          <w:tcPr>
            <w:tcW w:w="0" w:type="auto"/>
            <w:vAlign w:val="center"/>
          </w:tcPr>
          <w:p w14:paraId="64E6BF8D" w14:textId="77777777" w:rsidR="003B314F" w:rsidRDefault="001764E9">
            <w:pPr>
              <w:spacing w:beforeAutospacing="1" w:afterAutospacing="1"/>
            </w:pPr>
            <w:r>
              <w:rPr>
                <w:color w:val="000000"/>
                <w:sz w:val="22"/>
              </w:rPr>
              <w:t>0</w:t>
            </w:r>
          </w:p>
        </w:tc>
        <w:tc>
          <w:tcPr>
            <w:tcW w:w="0" w:type="auto"/>
            <w:vAlign w:val="center"/>
          </w:tcPr>
          <w:p w14:paraId="034F70DF" w14:textId="77777777" w:rsidR="003B314F" w:rsidRDefault="001764E9">
            <w:pPr>
              <w:spacing w:beforeAutospacing="1" w:afterAutospacing="1"/>
            </w:pPr>
            <w:r>
              <w:rPr>
                <w:color w:val="000000"/>
                <w:sz w:val="22"/>
              </w:rPr>
              <w:t>46</w:t>
            </w:r>
          </w:p>
        </w:tc>
        <w:tc>
          <w:tcPr>
            <w:tcW w:w="0" w:type="auto"/>
            <w:vAlign w:val="center"/>
          </w:tcPr>
          <w:p w14:paraId="19A9DD07" w14:textId="77777777" w:rsidR="003B314F" w:rsidRDefault="001764E9">
            <w:pPr>
              <w:spacing w:beforeAutospacing="1" w:afterAutospacing="1"/>
            </w:pPr>
            <w:r>
              <w:rPr>
                <w:color w:val="000000"/>
                <w:sz w:val="22"/>
              </w:rPr>
              <w:t xml:space="preserve"> </w:t>
            </w:r>
          </w:p>
        </w:tc>
        <w:tc>
          <w:tcPr>
            <w:tcW w:w="0" w:type="auto"/>
            <w:vAlign w:val="center"/>
          </w:tcPr>
          <w:p w14:paraId="249109FF" w14:textId="77777777" w:rsidR="003B314F" w:rsidRDefault="001764E9">
            <w:pPr>
              <w:spacing w:beforeAutospacing="1" w:afterAutospacing="1"/>
            </w:pPr>
            <w:r>
              <w:rPr>
                <w:color w:val="000000"/>
                <w:sz w:val="22"/>
              </w:rPr>
              <w:t>20</w:t>
            </w:r>
          </w:p>
        </w:tc>
        <w:tc>
          <w:tcPr>
            <w:tcW w:w="0" w:type="auto"/>
            <w:vAlign w:val="center"/>
          </w:tcPr>
          <w:p w14:paraId="6B394BCF" w14:textId="77777777" w:rsidR="003B314F" w:rsidRDefault="001764E9">
            <w:pPr>
              <w:spacing w:beforeAutospacing="1" w:afterAutospacing="1"/>
            </w:pPr>
            <w:r>
              <w:rPr>
                <w:color w:val="000000"/>
                <w:sz w:val="22"/>
              </w:rPr>
              <w:t>12</w:t>
            </w:r>
          </w:p>
        </w:tc>
        <w:tc>
          <w:tcPr>
            <w:tcW w:w="0" w:type="auto"/>
            <w:vAlign w:val="center"/>
          </w:tcPr>
          <w:p w14:paraId="101E2BAE" w14:textId="77777777" w:rsidR="003B314F" w:rsidRDefault="001764E9">
            <w:pPr>
              <w:spacing w:beforeAutospacing="1" w:afterAutospacing="1"/>
            </w:pPr>
            <w:r>
              <w:rPr>
                <w:color w:val="000000"/>
                <w:sz w:val="22"/>
              </w:rPr>
              <w:t xml:space="preserve">        60.00%</w:t>
            </w:r>
          </w:p>
        </w:tc>
      </w:tr>
      <w:tr w:rsidR="003B314F" w14:paraId="23FCD0A4" w14:textId="77777777">
        <w:trPr>
          <w:cantSplit/>
        </w:trPr>
        <w:tc>
          <w:tcPr>
            <w:tcW w:w="0" w:type="auto"/>
            <w:vAlign w:val="center"/>
          </w:tcPr>
          <w:p w14:paraId="3B2FACB3" w14:textId="77777777" w:rsidR="003B314F" w:rsidRDefault="001764E9">
            <w:pPr>
              <w:spacing w:beforeAutospacing="1" w:afterAutospacing="1"/>
            </w:pPr>
            <w:r>
              <w:rPr>
                <w:color w:val="000000"/>
                <w:sz w:val="22"/>
              </w:rPr>
              <w:t>Increase Affordable Housing for Rental</w:t>
            </w:r>
          </w:p>
        </w:tc>
        <w:tc>
          <w:tcPr>
            <w:tcW w:w="0" w:type="auto"/>
            <w:vAlign w:val="center"/>
          </w:tcPr>
          <w:p w14:paraId="2F011097" w14:textId="77777777" w:rsidR="003B314F" w:rsidRDefault="001764E9">
            <w:pPr>
              <w:spacing w:beforeAutospacing="1" w:afterAutospacing="1"/>
            </w:pPr>
            <w:r>
              <w:rPr>
                <w:color w:val="000000"/>
                <w:sz w:val="22"/>
              </w:rPr>
              <w:t>Affordable Housing</w:t>
            </w:r>
            <w:r>
              <w:rPr>
                <w:color w:val="000000"/>
                <w:sz w:val="22"/>
              </w:rPr>
              <w:br/>
              <w:t>Homeless</w:t>
            </w:r>
          </w:p>
        </w:tc>
        <w:tc>
          <w:tcPr>
            <w:tcW w:w="0" w:type="auto"/>
            <w:vAlign w:val="center"/>
          </w:tcPr>
          <w:p w14:paraId="56E64839" w14:textId="77777777" w:rsidR="003B314F" w:rsidRDefault="001764E9">
            <w:pPr>
              <w:spacing w:beforeAutospacing="1" w:afterAutospacing="1"/>
            </w:pPr>
            <w:r>
              <w:rPr>
                <w:color w:val="000000"/>
                <w:sz w:val="22"/>
              </w:rPr>
              <w:t>CDBG: $ / HOME: $</w:t>
            </w:r>
          </w:p>
        </w:tc>
        <w:tc>
          <w:tcPr>
            <w:tcW w:w="0" w:type="auto"/>
            <w:vAlign w:val="center"/>
          </w:tcPr>
          <w:p w14:paraId="5B6D849A" w14:textId="77777777" w:rsidR="003B314F" w:rsidRDefault="001764E9">
            <w:pPr>
              <w:spacing w:beforeAutospacing="1" w:afterAutospacing="1"/>
            </w:pPr>
            <w:r>
              <w:rPr>
                <w:color w:val="000000"/>
                <w:sz w:val="22"/>
              </w:rPr>
              <w:t>Rental units constructed</w:t>
            </w:r>
          </w:p>
        </w:tc>
        <w:tc>
          <w:tcPr>
            <w:tcW w:w="0" w:type="auto"/>
            <w:vAlign w:val="center"/>
          </w:tcPr>
          <w:p w14:paraId="1384F63E" w14:textId="77777777" w:rsidR="003B314F" w:rsidRDefault="001764E9">
            <w:pPr>
              <w:spacing w:beforeAutospacing="1" w:afterAutospacing="1"/>
            </w:pPr>
            <w:r>
              <w:rPr>
                <w:color w:val="000000"/>
                <w:sz w:val="22"/>
              </w:rPr>
              <w:t>Household Housing Unit</w:t>
            </w:r>
          </w:p>
        </w:tc>
        <w:tc>
          <w:tcPr>
            <w:tcW w:w="0" w:type="auto"/>
            <w:vAlign w:val="center"/>
          </w:tcPr>
          <w:p w14:paraId="6EE76A62" w14:textId="77777777" w:rsidR="003B314F" w:rsidRDefault="001764E9">
            <w:pPr>
              <w:spacing w:beforeAutospacing="1" w:afterAutospacing="1"/>
            </w:pPr>
            <w:r>
              <w:rPr>
                <w:color w:val="000000"/>
                <w:sz w:val="22"/>
              </w:rPr>
              <w:t>30</w:t>
            </w:r>
          </w:p>
        </w:tc>
        <w:tc>
          <w:tcPr>
            <w:tcW w:w="0" w:type="auto"/>
            <w:vAlign w:val="center"/>
          </w:tcPr>
          <w:p w14:paraId="3EE924D7" w14:textId="77777777" w:rsidR="003B314F" w:rsidRDefault="001764E9">
            <w:pPr>
              <w:spacing w:beforeAutospacing="1" w:afterAutospacing="1"/>
            </w:pPr>
            <w:r>
              <w:rPr>
                <w:color w:val="000000"/>
                <w:sz w:val="22"/>
              </w:rPr>
              <w:t>25</w:t>
            </w:r>
          </w:p>
        </w:tc>
        <w:tc>
          <w:tcPr>
            <w:tcW w:w="0" w:type="auto"/>
            <w:vAlign w:val="center"/>
          </w:tcPr>
          <w:p w14:paraId="11373409" w14:textId="77777777" w:rsidR="003B314F" w:rsidRDefault="001764E9">
            <w:pPr>
              <w:spacing w:beforeAutospacing="1" w:afterAutospacing="1"/>
            </w:pPr>
            <w:r>
              <w:rPr>
                <w:color w:val="000000"/>
                <w:sz w:val="22"/>
              </w:rPr>
              <w:t xml:space="preserve">        83.33%</w:t>
            </w:r>
          </w:p>
        </w:tc>
        <w:tc>
          <w:tcPr>
            <w:tcW w:w="0" w:type="auto"/>
            <w:vAlign w:val="center"/>
          </w:tcPr>
          <w:p w14:paraId="0DD3EE47" w14:textId="77777777" w:rsidR="003B314F" w:rsidRDefault="001764E9">
            <w:pPr>
              <w:spacing w:beforeAutospacing="1" w:afterAutospacing="1"/>
            </w:pPr>
            <w:r>
              <w:rPr>
                <w:color w:val="000000"/>
                <w:sz w:val="22"/>
              </w:rPr>
              <w:t>3</w:t>
            </w:r>
          </w:p>
        </w:tc>
        <w:tc>
          <w:tcPr>
            <w:tcW w:w="0" w:type="auto"/>
            <w:vAlign w:val="center"/>
          </w:tcPr>
          <w:p w14:paraId="1668C554" w14:textId="77777777" w:rsidR="003B314F" w:rsidRDefault="001764E9">
            <w:pPr>
              <w:spacing w:beforeAutospacing="1" w:afterAutospacing="1"/>
            </w:pPr>
            <w:r>
              <w:rPr>
                <w:color w:val="000000"/>
                <w:sz w:val="22"/>
              </w:rPr>
              <w:t>0</w:t>
            </w:r>
          </w:p>
        </w:tc>
        <w:tc>
          <w:tcPr>
            <w:tcW w:w="0" w:type="auto"/>
            <w:vAlign w:val="center"/>
          </w:tcPr>
          <w:p w14:paraId="4C66EF72" w14:textId="77777777" w:rsidR="003B314F" w:rsidRDefault="001764E9">
            <w:pPr>
              <w:spacing w:beforeAutospacing="1" w:afterAutospacing="1"/>
            </w:pPr>
            <w:r>
              <w:rPr>
                <w:color w:val="000000"/>
                <w:sz w:val="22"/>
              </w:rPr>
              <w:t xml:space="preserve">         0.00%</w:t>
            </w:r>
          </w:p>
        </w:tc>
      </w:tr>
      <w:tr w:rsidR="003B314F" w14:paraId="50C64D24" w14:textId="77777777">
        <w:trPr>
          <w:cantSplit/>
        </w:trPr>
        <w:tc>
          <w:tcPr>
            <w:tcW w:w="0" w:type="auto"/>
            <w:vAlign w:val="center"/>
          </w:tcPr>
          <w:p w14:paraId="34DCF075" w14:textId="77777777" w:rsidR="003B314F" w:rsidRDefault="001764E9">
            <w:pPr>
              <w:spacing w:beforeAutospacing="1" w:afterAutospacing="1"/>
            </w:pPr>
            <w:r>
              <w:rPr>
                <w:color w:val="000000"/>
                <w:sz w:val="22"/>
              </w:rPr>
              <w:lastRenderedPageBreak/>
              <w:t>Increase Affordable Housing for Rental</w:t>
            </w:r>
          </w:p>
        </w:tc>
        <w:tc>
          <w:tcPr>
            <w:tcW w:w="0" w:type="auto"/>
            <w:vAlign w:val="center"/>
          </w:tcPr>
          <w:p w14:paraId="1B0179EB" w14:textId="77777777" w:rsidR="003B314F" w:rsidRDefault="001764E9">
            <w:pPr>
              <w:spacing w:beforeAutospacing="1" w:afterAutospacing="1"/>
            </w:pPr>
            <w:r>
              <w:rPr>
                <w:color w:val="000000"/>
                <w:sz w:val="22"/>
              </w:rPr>
              <w:t>Affordable Housing</w:t>
            </w:r>
            <w:r>
              <w:rPr>
                <w:color w:val="000000"/>
                <w:sz w:val="22"/>
              </w:rPr>
              <w:br/>
              <w:t>Homeless</w:t>
            </w:r>
          </w:p>
        </w:tc>
        <w:tc>
          <w:tcPr>
            <w:tcW w:w="0" w:type="auto"/>
            <w:vAlign w:val="center"/>
          </w:tcPr>
          <w:p w14:paraId="22AEF5CE" w14:textId="77777777" w:rsidR="003B314F" w:rsidRDefault="001764E9">
            <w:pPr>
              <w:spacing w:beforeAutospacing="1" w:afterAutospacing="1"/>
            </w:pPr>
            <w:r>
              <w:rPr>
                <w:color w:val="000000"/>
                <w:sz w:val="22"/>
              </w:rPr>
              <w:t>CDBG: $ / HOME: $</w:t>
            </w:r>
          </w:p>
        </w:tc>
        <w:tc>
          <w:tcPr>
            <w:tcW w:w="0" w:type="auto"/>
            <w:vAlign w:val="center"/>
          </w:tcPr>
          <w:p w14:paraId="2D18939D" w14:textId="77777777" w:rsidR="003B314F" w:rsidRDefault="001764E9">
            <w:pPr>
              <w:spacing w:beforeAutospacing="1" w:afterAutospacing="1"/>
            </w:pPr>
            <w:r>
              <w:rPr>
                <w:color w:val="000000"/>
                <w:sz w:val="22"/>
              </w:rPr>
              <w:t>Rental units rehabilitated</w:t>
            </w:r>
          </w:p>
        </w:tc>
        <w:tc>
          <w:tcPr>
            <w:tcW w:w="0" w:type="auto"/>
            <w:vAlign w:val="center"/>
          </w:tcPr>
          <w:p w14:paraId="22E3B538" w14:textId="77777777" w:rsidR="003B314F" w:rsidRDefault="001764E9">
            <w:pPr>
              <w:spacing w:beforeAutospacing="1" w:afterAutospacing="1"/>
            </w:pPr>
            <w:r>
              <w:rPr>
                <w:color w:val="000000"/>
                <w:sz w:val="22"/>
              </w:rPr>
              <w:t>Household Housing Unit</w:t>
            </w:r>
          </w:p>
        </w:tc>
        <w:tc>
          <w:tcPr>
            <w:tcW w:w="0" w:type="auto"/>
            <w:vAlign w:val="center"/>
          </w:tcPr>
          <w:p w14:paraId="14ABEE40" w14:textId="77777777" w:rsidR="003B314F" w:rsidRDefault="001764E9">
            <w:pPr>
              <w:spacing w:beforeAutospacing="1" w:afterAutospacing="1"/>
            </w:pPr>
            <w:r>
              <w:rPr>
                <w:color w:val="000000"/>
                <w:sz w:val="22"/>
              </w:rPr>
              <w:t>50</w:t>
            </w:r>
          </w:p>
        </w:tc>
        <w:tc>
          <w:tcPr>
            <w:tcW w:w="0" w:type="auto"/>
            <w:vAlign w:val="center"/>
          </w:tcPr>
          <w:p w14:paraId="22DFDCFA" w14:textId="77777777" w:rsidR="003B314F" w:rsidRDefault="001764E9">
            <w:pPr>
              <w:spacing w:beforeAutospacing="1" w:afterAutospacing="1"/>
            </w:pPr>
            <w:r>
              <w:rPr>
                <w:color w:val="000000"/>
                <w:sz w:val="22"/>
              </w:rPr>
              <w:t>67</w:t>
            </w:r>
          </w:p>
        </w:tc>
        <w:tc>
          <w:tcPr>
            <w:tcW w:w="0" w:type="auto"/>
            <w:vAlign w:val="center"/>
          </w:tcPr>
          <w:p w14:paraId="012D207E" w14:textId="77777777" w:rsidR="003B314F" w:rsidRDefault="001764E9">
            <w:pPr>
              <w:spacing w:beforeAutospacing="1" w:afterAutospacing="1"/>
            </w:pPr>
            <w:r>
              <w:rPr>
                <w:color w:val="000000"/>
                <w:sz w:val="22"/>
              </w:rPr>
              <w:t xml:space="preserve">       134.00%</w:t>
            </w:r>
          </w:p>
        </w:tc>
        <w:tc>
          <w:tcPr>
            <w:tcW w:w="0" w:type="auto"/>
            <w:vAlign w:val="center"/>
          </w:tcPr>
          <w:p w14:paraId="3B4421B2" w14:textId="77777777" w:rsidR="003B314F" w:rsidRDefault="001764E9">
            <w:pPr>
              <w:spacing w:beforeAutospacing="1" w:afterAutospacing="1"/>
            </w:pPr>
            <w:r>
              <w:rPr>
                <w:color w:val="000000"/>
                <w:sz w:val="22"/>
              </w:rPr>
              <w:t>5</w:t>
            </w:r>
          </w:p>
        </w:tc>
        <w:tc>
          <w:tcPr>
            <w:tcW w:w="0" w:type="auto"/>
            <w:vAlign w:val="center"/>
          </w:tcPr>
          <w:p w14:paraId="3FCD6BAD" w14:textId="77777777" w:rsidR="003B314F" w:rsidRDefault="001764E9">
            <w:pPr>
              <w:spacing w:beforeAutospacing="1" w:afterAutospacing="1"/>
            </w:pPr>
            <w:r>
              <w:rPr>
                <w:color w:val="000000"/>
                <w:sz w:val="22"/>
              </w:rPr>
              <w:t>1</w:t>
            </w:r>
          </w:p>
        </w:tc>
        <w:tc>
          <w:tcPr>
            <w:tcW w:w="0" w:type="auto"/>
            <w:vAlign w:val="center"/>
          </w:tcPr>
          <w:p w14:paraId="46A8B220" w14:textId="77777777" w:rsidR="003B314F" w:rsidRDefault="001764E9">
            <w:pPr>
              <w:spacing w:beforeAutospacing="1" w:afterAutospacing="1"/>
            </w:pPr>
            <w:r>
              <w:rPr>
                <w:color w:val="000000"/>
                <w:sz w:val="22"/>
              </w:rPr>
              <w:t xml:space="preserve">        20.00%</w:t>
            </w:r>
          </w:p>
        </w:tc>
      </w:tr>
      <w:tr w:rsidR="003B314F" w14:paraId="7D1CF87E" w14:textId="77777777">
        <w:trPr>
          <w:cantSplit/>
        </w:trPr>
        <w:tc>
          <w:tcPr>
            <w:tcW w:w="0" w:type="auto"/>
            <w:vAlign w:val="center"/>
          </w:tcPr>
          <w:p w14:paraId="628A3DE9" w14:textId="77777777" w:rsidR="003B314F" w:rsidRDefault="001764E9">
            <w:pPr>
              <w:spacing w:beforeAutospacing="1" w:afterAutospacing="1"/>
            </w:pPr>
            <w:r>
              <w:rPr>
                <w:color w:val="000000"/>
                <w:sz w:val="22"/>
              </w:rPr>
              <w:t>Increase Affordable Housing for Rental</w:t>
            </w:r>
          </w:p>
        </w:tc>
        <w:tc>
          <w:tcPr>
            <w:tcW w:w="0" w:type="auto"/>
            <w:vAlign w:val="center"/>
          </w:tcPr>
          <w:p w14:paraId="6C75F9B2" w14:textId="77777777" w:rsidR="003B314F" w:rsidRDefault="001764E9">
            <w:pPr>
              <w:spacing w:beforeAutospacing="1" w:afterAutospacing="1"/>
            </w:pPr>
            <w:r>
              <w:rPr>
                <w:color w:val="000000"/>
                <w:sz w:val="22"/>
              </w:rPr>
              <w:t>Affordable Housing</w:t>
            </w:r>
            <w:r>
              <w:rPr>
                <w:color w:val="000000"/>
                <w:sz w:val="22"/>
              </w:rPr>
              <w:br/>
              <w:t>Homeless</w:t>
            </w:r>
          </w:p>
        </w:tc>
        <w:tc>
          <w:tcPr>
            <w:tcW w:w="0" w:type="auto"/>
            <w:vAlign w:val="center"/>
          </w:tcPr>
          <w:p w14:paraId="04F90AA4" w14:textId="77777777" w:rsidR="003B314F" w:rsidRDefault="001764E9">
            <w:pPr>
              <w:spacing w:beforeAutospacing="1" w:afterAutospacing="1"/>
            </w:pPr>
            <w:r>
              <w:rPr>
                <w:color w:val="000000"/>
                <w:sz w:val="22"/>
              </w:rPr>
              <w:t>CDBG: $ / HOME: $</w:t>
            </w:r>
          </w:p>
        </w:tc>
        <w:tc>
          <w:tcPr>
            <w:tcW w:w="0" w:type="auto"/>
            <w:vAlign w:val="center"/>
          </w:tcPr>
          <w:p w14:paraId="6119FB7C" w14:textId="77777777" w:rsidR="003B314F" w:rsidRDefault="001764E9">
            <w:pPr>
              <w:spacing w:beforeAutospacing="1" w:afterAutospacing="1"/>
            </w:pPr>
            <w:r>
              <w:rPr>
                <w:color w:val="000000"/>
                <w:sz w:val="22"/>
              </w:rPr>
              <w:t>Homeowner Housing Added</w:t>
            </w:r>
          </w:p>
        </w:tc>
        <w:tc>
          <w:tcPr>
            <w:tcW w:w="0" w:type="auto"/>
            <w:vAlign w:val="center"/>
          </w:tcPr>
          <w:p w14:paraId="3CD1AFF2" w14:textId="77777777" w:rsidR="003B314F" w:rsidRDefault="001764E9">
            <w:pPr>
              <w:spacing w:beforeAutospacing="1" w:afterAutospacing="1"/>
            </w:pPr>
            <w:r>
              <w:rPr>
                <w:color w:val="000000"/>
                <w:sz w:val="22"/>
              </w:rPr>
              <w:t>Household Housing Unit</w:t>
            </w:r>
          </w:p>
        </w:tc>
        <w:tc>
          <w:tcPr>
            <w:tcW w:w="0" w:type="auto"/>
            <w:vAlign w:val="center"/>
          </w:tcPr>
          <w:p w14:paraId="53579FF8" w14:textId="77777777" w:rsidR="003B314F" w:rsidRDefault="001764E9">
            <w:pPr>
              <w:spacing w:beforeAutospacing="1" w:afterAutospacing="1"/>
            </w:pPr>
            <w:r>
              <w:rPr>
                <w:color w:val="000000"/>
                <w:sz w:val="22"/>
              </w:rPr>
              <w:t>0</w:t>
            </w:r>
          </w:p>
        </w:tc>
        <w:tc>
          <w:tcPr>
            <w:tcW w:w="0" w:type="auto"/>
            <w:vAlign w:val="center"/>
          </w:tcPr>
          <w:p w14:paraId="63A0CAC1" w14:textId="77777777" w:rsidR="003B314F" w:rsidRDefault="001764E9">
            <w:pPr>
              <w:spacing w:beforeAutospacing="1" w:afterAutospacing="1"/>
            </w:pPr>
            <w:r>
              <w:rPr>
                <w:color w:val="000000"/>
                <w:sz w:val="22"/>
              </w:rPr>
              <w:t>2</w:t>
            </w:r>
          </w:p>
        </w:tc>
        <w:tc>
          <w:tcPr>
            <w:tcW w:w="0" w:type="auto"/>
            <w:vAlign w:val="center"/>
          </w:tcPr>
          <w:p w14:paraId="2A8F29E7" w14:textId="77777777" w:rsidR="003B314F" w:rsidRDefault="001764E9">
            <w:pPr>
              <w:spacing w:beforeAutospacing="1" w:afterAutospacing="1"/>
            </w:pPr>
            <w:r>
              <w:rPr>
                <w:color w:val="000000"/>
                <w:sz w:val="22"/>
              </w:rPr>
              <w:t xml:space="preserve"> </w:t>
            </w:r>
          </w:p>
        </w:tc>
        <w:tc>
          <w:tcPr>
            <w:tcW w:w="0" w:type="auto"/>
            <w:vAlign w:val="center"/>
          </w:tcPr>
          <w:p w14:paraId="514749F3" w14:textId="77777777" w:rsidR="003B314F" w:rsidRDefault="001764E9">
            <w:pPr>
              <w:spacing w:beforeAutospacing="1" w:afterAutospacing="1"/>
            </w:pPr>
            <w:r>
              <w:rPr>
                <w:color w:val="000000"/>
                <w:sz w:val="22"/>
              </w:rPr>
              <w:t>0</w:t>
            </w:r>
          </w:p>
        </w:tc>
        <w:tc>
          <w:tcPr>
            <w:tcW w:w="0" w:type="auto"/>
            <w:vAlign w:val="center"/>
          </w:tcPr>
          <w:p w14:paraId="36ECD09C" w14:textId="77777777" w:rsidR="003B314F" w:rsidRDefault="001764E9">
            <w:pPr>
              <w:spacing w:beforeAutospacing="1" w:afterAutospacing="1"/>
            </w:pPr>
            <w:r>
              <w:rPr>
                <w:color w:val="000000"/>
                <w:sz w:val="22"/>
              </w:rPr>
              <w:t>2</w:t>
            </w:r>
          </w:p>
        </w:tc>
        <w:tc>
          <w:tcPr>
            <w:tcW w:w="0" w:type="auto"/>
            <w:vAlign w:val="center"/>
          </w:tcPr>
          <w:p w14:paraId="360BC8A3" w14:textId="77777777" w:rsidR="003B314F" w:rsidRDefault="001764E9">
            <w:pPr>
              <w:spacing w:beforeAutospacing="1" w:afterAutospacing="1"/>
            </w:pPr>
            <w:r>
              <w:rPr>
                <w:color w:val="000000"/>
                <w:sz w:val="22"/>
              </w:rPr>
              <w:t xml:space="preserve"> </w:t>
            </w:r>
          </w:p>
        </w:tc>
      </w:tr>
      <w:tr w:rsidR="003B314F" w14:paraId="70C0167F" w14:textId="77777777">
        <w:trPr>
          <w:cantSplit/>
        </w:trPr>
        <w:tc>
          <w:tcPr>
            <w:tcW w:w="0" w:type="auto"/>
            <w:vAlign w:val="center"/>
          </w:tcPr>
          <w:p w14:paraId="5B75ED76" w14:textId="77777777" w:rsidR="003B314F" w:rsidRDefault="001764E9">
            <w:pPr>
              <w:spacing w:beforeAutospacing="1" w:afterAutospacing="1"/>
            </w:pPr>
            <w:r>
              <w:rPr>
                <w:color w:val="000000"/>
                <w:sz w:val="22"/>
              </w:rPr>
              <w:t>Increase Affordable Housing for Rental</w:t>
            </w:r>
          </w:p>
        </w:tc>
        <w:tc>
          <w:tcPr>
            <w:tcW w:w="0" w:type="auto"/>
            <w:vAlign w:val="center"/>
          </w:tcPr>
          <w:p w14:paraId="5623B317" w14:textId="77777777" w:rsidR="003B314F" w:rsidRDefault="001764E9">
            <w:pPr>
              <w:spacing w:beforeAutospacing="1" w:afterAutospacing="1"/>
            </w:pPr>
            <w:r>
              <w:rPr>
                <w:color w:val="000000"/>
                <w:sz w:val="22"/>
              </w:rPr>
              <w:t>Affordable Housing</w:t>
            </w:r>
            <w:r>
              <w:rPr>
                <w:color w:val="000000"/>
                <w:sz w:val="22"/>
              </w:rPr>
              <w:br/>
              <w:t>Homeless</w:t>
            </w:r>
          </w:p>
        </w:tc>
        <w:tc>
          <w:tcPr>
            <w:tcW w:w="0" w:type="auto"/>
            <w:vAlign w:val="center"/>
          </w:tcPr>
          <w:p w14:paraId="329A506C" w14:textId="77777777" w:rsidR="003B314F" w:rsidRDefault="001764E9">
            <w:pPr>
              <w:spacing w:beforeAutospacing="1" w:afterAutospacing="1"/>
            </w:pPr>
            <w:r>
              <w:rPr>
                <w:color w:val="000000"/>
                <w:sz w:val="22"/>
              </w:rPr>
              <w:t>CDBG: $ / HOME: $</w:t>
            </w:r>
          </w:p>
        </w:tc>
        <w:tc>
          <w:tcPr>
            <w:tcW w:w="0" w:type="auto"/>
            <w:vAlign w:val="center"/>
          </w:tcPr>
          <w:p w14:paraId="650C1B9E" w14:textId="77777777" w:rsidR="003B314F" w:rsidRDefault="001764E9">
            <w:pPr>
              <w:spacing w:beforeAutospacing="1" w:afterAutospacing="1"/>
            </w:pPr>
            <w:r>
              <w:rPr>
                <w:color w:val="000000"/>
                <w:sz w:val="22"/>
              </w:rPr>
              <w:t>Homeowner Housing Rehabilitated</w:t>
            </w:r>
          </w:p>
        </w:tc>
        <w:tc>
          <w:tcPr>
            <w:tcW w:w="0" w:type="auto"/>
            <w:vAlign w:val="center"/>
          </w:tcPr>
          <w:p w14:paraId="1C8C7B2E" w14:textId="77777777" w:rsidR="003B314F" w:rsidRDefault="001764E9">
            <w:pPr>
              <w:spacing w:beforeAutospacing="1" w:afterAutospacing="1"/>
            </w:pPr>
            <w:r>
              <w:rPr>
                <w:color w:val="000000"/>
                <w:sz w:val="22"/>
              </w:rPr>
              <w:t>Household Housing Unit</w:t>
            </w:r>
          </w:p>
        </w:tc>
        <w:tc>
          <w:tcPr>
            <w:tcW w:w="0" w:type="auto"/>
            <w:vAlign w:val="center"/>
          </w:tcPr>
          <w:p w14:paraId="545E5413" w14:textId="77777777" w:rsidR="003B314F" w:rsidRDefault="001764E9">
            <w:pPr>
              <w:spacing w:beforeAutospacing="1" w:afterAutospacing="1"/>
            </w:pPr>
            <w:r>
              <w:rPr>
                <w:color w:val="000000"/>
                <w:sz w:val="22"/>
              </w:rPr>
              <w:t>0</w:t>
            </w:r>
          </w:p>
        </w:tc>
        <w:tc>
          <w:tcPr>
            <w:tcW w:w="0" w:type="auto"/>
            <w:vAlign w:val="center"/>
          </w:tcPr>
          <w:p w14:paraId="41CC37DE" w14:textId="77777777" w:rsidR="003B314F" w:rsidRDefault="001764E9">
            <w:pPr>
              <w:spacing w:beforeAutospacing="1" w:afterAutospacing="1"/>
            </w:pPr>
            <w:r>
              <w:rPr>
                <w:color w:val="000000"/>
                <w:sz w:val="22"/>
              </w:rPr>
              <w:t>0</w:t>
            </w:r>
          </w:p>
        </w:tc>
        <w:tc>
          <w:tcPr>
            <w:tcW w:w="0" w:type="auto"/>
            <w:vAlign w:val="center"/>
          </w:tcPr>
          <w:p w14:paraId="528806C1" w14:textId="77777777" w:rsidR="003B314F" w:rsidRDefault="001764E9">
            <w:pPr>
              <w:spacing w:beforeAutospacing="1" w:afterAutospacing="1"/>
            </w:pPr>
            <w:r>
              <w:rPr>
                <w:color w:val="000000"/>
                <w:sz w:val="22"/>
              </w:rPr>
              <w:t xml:space="preserve"> </w:t>
            </w:r>
          </w:p>
        </w:tc>
        <w:tc>
          <w:tcPr>
            <w:tcW w:w="0" w:type="auto"/>
            <w:vAlign w:val="center"/>
          </w:tcPr>
          <w:p w14:paraId="4778026A" w14:textId="77777777" w:rsidR="003B314F" w:rsidRDefault="001764E9">
            <w:pPr>
              <w:spacing w:beforeAutospacing="1" w:afterAutospacing="1"/>
            </w:pPr>
            <w:r>
              <w:rPr>
                <w:color w:val="000000"/>
                <w:sz w:val="22"/>
              </w:rPr>
              <w:t xml:space="preserve"> </w:t>
            </w:r>
          </w:p>
        </w:tc>
        <w:tc>
          <w:tcPr>
            <w:tcW w:w="0" w:type="auto"/>
            <w:vAlign w:val="center"/>
          </w:tcPr>
          <w:p w14:paraId="6201705A" w14:textId="77777777" w:rsidR="003B314F" w:rsidRDefault="001764E9">
            <w:pPr>
              <w:spacing w:beforeAutospacing="1" w:afterAutospacing="1"/>
            </w:pPr>
            <w:r>
              <w:rPr>
                <w:color w:val="000000"/>
                <w:sz w:val="22"/>
              </w:rPr>
              <w:t xml:space="preserve"> </w:t>
            </w:r>
          </w:p>
        </w:tc>
        <w:tc>
          <w:tcPr>
            <w:tcW w:w="0" w:type="auto"/>
            <w:vAlign w:val="center"/>
          </w:tcPr>
          <w:p w14:paraId="6C401059" w14:textId="77777777" w:rsidR="003B314F" w:rsidRDefault="001764E9">
            <w:pPr>
              <w:spacing w:beforeAutospacing="1" w:afterAutospacing="1"/>
            </w:pPr>
            <w:r>
              <w:rPr>
                <w:color w:val="000000"/>
                <w:sz w:val="22"/>
              </w:rPr>
              <w:t xml:space="preserve"> </w:t>
            </w:r>
          </w:p>
        </w:tc>
      </w:tr>
      <w:tr w:rsidR="003B314F" w14:paraId="6B42449A" w14:textId="77777777">
        <w:trPr>
          <w:cantSplit/>
        </w:trPr>
        <w:tc>
          <w:tcPr>
            <w:tcW w:w="0" w:type="auto"/>
            <w:vAlign w:val="center"/>
          </w:tcPr>
          <w:p w14:paraId="142C0332" w14:textId="77777777" w:rsidR="003B314F" w:rsidRDefault="001764E9">
            <w:pPr>
              <w:spacing w:beforeAutospacing="1" w:afterAutospacing="1"/>
            </w:pPr>
            <w:r>
              <w:rPr>
                <w:color w:val="000000"/>
                <w:sz w:val="22"/>
              </w:rPr>
              <w:t>Increase Affordable Housing for Rental</w:t>
            </w:r>
          </w:p>
        </w:tc>
        <w:tc>
          <w:tcPr>
            <w:tcW w:w="0" w:type="auto"/>
            <w:vAlign w:val="center"/>
          </w:tcPr>
          <w:p w14:paraId="77834EC8" w14:textId="77777777" w:rsidR="003B314F" w:rsidRDefault="001764E9">
            <w:pPr>
              <w:spacing w:beforeAutospacing="1" w:afterAutospacing="1"/>
            </w:pPr>
            <w:r>
              <w:rPr>
                <w:color w:val="000000"/>
                <w:sz w:val="22"/>
              </w:rPr>
              <w:t>Affordable Housing</w:t>
            </w:r>
            <w:r>
              <w:rPr>
                <w:color w:val="000000"/>
                <w:sz w:val="22"/>
              </w:rPr>
              <w:br/>
              <w:t>Homeless</w:t>
            </w:r>
          </w:p>
        </w:tc>
        <w:tc>
          <w:tcPr>
            <w:tcW w:w="0" w:type="auto"/>
            <w:vAlign w:val="center"/>
          </w:tcPr>
          <w:p w14:paraId="037242A6" w14:textId="77777777" w:rsidR="003B314F" w:rsidRDefault="001764E9">
            <w:pPr>
              <w:spacing w:beforeAutospacing="1" w:afterAutospacing="1"/>
            </w:pPr>
            <w:r>
              <w:rPr>
                <w:color w:val="000000"/>
                <w:sz w:val="22"/>
              </w:rPr>
              <w:t>CDBG: $ / HOME: $</w:t>
            </w:r>
          </w:p>
        </w:tc>
        <w:tc>
          <w:tcPr>
            <w:tcW w:w="0" w:type="auto"/>
            <w:vAlign w:val="center"/>
          </w:tcPr>
          <w:p w14:paraId="517394AC" w14:textId="77777777" w:rsidR="003B314F" w:rsidRDefault="001764E9">
            <w:pPr>
              <w:spacing w:beforeAutospacing="1" w:afterAutospacing="1"/>
            </w:pPr>
            <w:r>
              <w:rPr>
                <w:color w:val="000000"/>
                <w:sz w:val="22"/>
              </w:rPr>
              <w:t>Tenant-based rental assistance / Rapid Rehousing</w:t>
            </w:r>
          </w:p>
        </w:tc>
        <w:tc>
          <w:tcPr>
            <w:tcW w:w="0" w:type="auto"/>
            <w:vAlign w:val="center"/>
          </w:tcPr>
          <w:p w14:paraId="5A1B776E" w14:textId="77777777" w:rsidR="003B314F" w:rsidRDefault="001764E9">
            <w:pPr>
              <w:spacing w:beforeAutospacing="1" w:afterAutospacing="1"/>
            </w:pPr>
            <w:r>
              <w:rPr>
                <w:color w:val="000000"/>
                <w:sz w:val="22"/>
              </w:rPr>
              <w:t>Households Assisted</w:t>
            </w:r>
          </w:p>
        </w:tc>
        <w:tc>
          <w:tcPr>
            <w:tcW w:w="0" w:type="auto"/>
            <w:vAlign w:val="center"/>
          </w:tcPr>
          <w:p w14:paraId="6AC194D8" w14:textId="77777777" w:rsidR="003B314F" w:rsidRDefault="001764E9">
            <w:pPr>
              <w:spacing w:beforeAutospacing="1" w:afterAutospacing="1"/>
            </w:pPr>
            <w:r>
              <w:rPr>
                <w:color w:val="000000"/>
                <w:sz w:val="22"/>
              </w:rPr>
              <w:t>0</w:t>
            </w:r>
          </w:p>
        </w:tc>
        <w:tc>
          <w:tcPr>
            <w:tcW w:w="0" w:type="auto"/>
            <w:vAlign w:val="center"/>
          </w:tcPr>
          <w:p w14:paraId="1F78132A" w14:textId="77777777" w:rsidR="003B314F" w:rsidRDefault="001764E9">
            <w:pPr>
              <w:spacing w:beforeAutospacing="1" w:afterAutospacing="1"/>
            </w:pPr>
            <w:r>
              <w:rPr>
                <w:color w:val="000000"/>
                <w:sz w:val="22"/>
              </w:rPr>
              <w:t>0</w:t>
            </w:r>
          </w:p>
        </w:tc>
        <w:tc>
          <w:tcPr>
            <w:tcW w:w="0" w:type="auto"/>
            <w:vAlign w:val="center"/>
          </w:tcPr>
          <w:p w14:paraId="5C83ECED" w14:textId="77777777" w:rsidR="003B314F" w:rsidRDefault="001764E9">
            <w:pPr>
              <w:spacing w:beforeAutospacing="1" w:afterAutospacing="1"/>
            </w:pPr>
            <w:r>
              <w:rPr>
                <w:color w:val="000000"/>
                <w:sz w:val="22"/>
              </w:rPr>
              <w:t xml:space="preserve"> </w:t>
            </w:r>
          </w:p>
        </w:tc>
        <w:tc>
          <w:tcPr>
            <w:tcW w:w="0" w:type="auto"/>
            <w:vAlign w:val="center"/>
          </w:tcPr>
          <w:p w14:paraId="4C25228E" w14:textId="77777777" w:rsidR="003B314F" w:rsidRDefault="001764E9">
            <w:pPr>
              <w:spacing w:beforeAutospacing="1" w:afterAutospacing="1"/>
            </w:pPr>
            <w:r>
              <w:rPr>
                <w:color w:val="000000"/>
                <w:sz w:val="22"/>
              </w:rPr>
              <w:t>9</w:t>
            </w:r>
          </w:p>
        </w:tc>
        <w:tc>
          <w:tcPr>
            <w:tcW w:w="0" w:type="auto"/>
            <w:vAlign w:val="center"/>
          </w:tcPr>
          <w:p w14:paraId="47AB6EFD" w14:textId="77777777" w:rsidR="003B314F" w:rsidRDefault="001764E9">
            <w:pPr>
              <w:spacing w:beforeAutospacing="1" w:afterAutospacing="1"/>
            </w:pPr>
            <w:r>
              <w:rPr>
                <w:color w:val="000000"/>
                <w:sz w:val="22"/>
              </w:rPr>
              <w:t>0</w:t>
            </w:r>
          </w:p>
        </w:tc>
        <w:tc>
          <w:tcPr>
            <w:tcW w:w="0" w:type="auto"/>
            <w:vAlign w:val="center"/>
          </w:tcPr>
          <w:p w14:paraId="16CDABBE" w14:textId="77777777" w:rsidR="003B314F" w:rsidRDefault="001764E9">
            <w:pPr>
              <w:spacing w:beforeAutospacing="1" w:afterAutospacing="1"/>
            </w:pPr>
            <w:r>
              <w:rPr>
                <w:color w:val="000000"/>
                <w:sz w:val="22"/>
              </w:rPr>
              <w:t xml:space="preserve">         0.00%</w:t>
            </w:r>
          </w:p>
        </w:tc>
      </w:tr>
      <w:tr w:rsidR="003B314F" w14:paraId="4516586E" w14:textId="77777777">
        <w:trPr>
          <w:cantSplit/>
        </w:trPr>
        <w:tc>
          <w:tcPr>
            <w:tcW w:w="0" w:type="auto"/>
            <w:vAlign w:val="center"/>
          </w:tcPr>
          <w:p w14:paraId="684ECB11" w14:textId="77777777" w:rsidR="003B314F" w:rsidRDefault="001764E9">
            <w:pPr>
              <w:spacing w:beforeAutospacing="1" w:afterAutospacing="1"/>
            </w:pPr>
            <w:r>
              <w:rPr>
                <w:color w:val="000000"/>
                <w:sz w:val="22"/>
              </w:rPr>
              <w:t>Increase Affordable Housing for Rental</w:t>
            </w:r>
          </w:p>
        </w:tc>
        <w:tc>
          <w:tcPr>
            <w:tcW w:w="0" w:type="auto"/>
            <w:vAlign w:val="center"/>
          </w:tcPr>
          <w:p w14:paraId="31D14695" w14:textId="77777777" w:rsidR="003B314F" w:rsidRDefault="001764E9">
            <w:pPr>
              <w:spacing w:beforeAutospacing="1" w:afterAutospacing="1"/>
            </w:pPr>
            <w:r>
              <w:rPr>
                <w:color w:val="000000"/>
                <w:sz w:val="22"/>
              </w:rPr>
              <w:t>Affordable Housing</w:t>
            </w:r>
            <w:r>
              <w:rPr>
                <w:color w:val="000000"/>
                <w:sz w:val="22"/>
              </w:rPr>
              <w:br/>
              <w:t>Homeless</w:t>
            </w:r>
          </w:p>
        </w:tc>
        <w:tc>
          <w:tcPr>
            <w:tcW w:w="0" w:type="auto"/>
            <w:vAlign w:val="center"/>
          </w:tcPr>
          <w:p w14:paraId="448DA230" w14:textId="77777777" w:rsidR="003B314F" w:rsidRDefault="001764E9">
            <w:pPr>
              <w:spacing w:beforeAutospacing="1" w:afterAutospacing="1"/>
            </w:pPr>
            <w:r>
              <w:rPr>
                <w:color w:val="000000"/>
                <w:sz w:val="22"/>
              </w:rPr>
              <w:t>CDBG: $ / HOME: $</w:t>
            </w:r>
          </w:p>
        </w:tc>
        <w:tc>
          <w:tcPr>
            <w:tcW w:w="0" w:type="auto"/>
            <w:vAlign w:val="center"/>
          </w:tcPr>
          <w:p w14:paraId="0893E009" w14:textId="77777777" w:rsidR="003B314F" w:rsidRDefault="001764E9">
            <w:pPr>
              <w:spacing w:beforeAutospacing="1" w:afterAutospacing="1"/>
            </w:pPr>
            <w:r>
              <w:rPr>
                <w:color w:val="000000"/>
                <w:sz w:val="22"/>
              </w:rPr>
              <w:t>Housing for Homeless added</w:t>
            </w:r>
          </w:p>
        </w:tc>
        <w:tc>
          <w:tcPr>
            <w:tcW w:w="0" w:type="auto"/>
            <w:vAlign w:val="center"/>
          </w:tcPr>
          <w:p w14:paraId="2C066F85" w14:textId="77777777" w:rsidR="003B314F" w:rsidRDefault="001764E9">
            <w:pPr>
              <w:spacing w:beforeAutospacing="1" w:afterAutospacing="1"/>
            </w:pPr>
            <w:r>
              <w:rPr>
                <w:color w:val="000000"/>
                <w:sz w:val="22"/>
              </w:rPr>
              <w:t>Household Housing Unit</w:t>
            </w:r>
          </w:p>
        </w:tc>
        <w:tc>
          <w:tcPr>
            <w:tcW w:w="0" w:type="auto"/>
            <w:vAlign w:val="center"/>
          </w:tcPr>
          <w:p w14:paraId="0DF10847" w14:textId="77777777" w:rsidR="003B314F" w:rsidRDefault="001764E9">
            <w:pPr>
              <w:spacing w:beforeAutospacing="1" w:afterAutospacing="1"/>
            </w:pPr>
            <w:r>
              <w:rPr>
                <w:color w:val="000000"/>
                <w:sz w:val="22"/>
              </w:rPr>
              <w:t>0</w:t>
            </w:r>
          </w:p>
        </w:tc>
        <w:tc>
          <w:tcPr>
            <w:tcW w:w="0" w:type="auto"/>
            <w:vAlign w:val="center"/>
          </w:tcPr>
          <w:p w14:paraId="72D73FCA" w14:textId="77777777" w:rsidR="003B314F" w:rsidRDefault="001764E9">
            <w:pPr>
              <w:spacing w:beforeAutospacing="1" w:afterAutospacing="1"/>
            </w:pPr>
            <w:r>
              <w:rPr>
                <w:color w:val="000000"/>
                <w:sz w:val="22"/>
              </w:rPr>
              <w:t>0</w:t>
            </w:r>
          </w:p>
        </w:tc>
        <w:tc>
          <w:tcPr>
            <w:tcW w:w="0" w:type="auto"/>
            <w:vAlign w:val="center"/>
          </w:tcPr>
          <w:p w14:paraId="46B72AD5" w14:textId="77777777" w:rsidR="003B314F" w:rsidRDefault="001764E9">
            <w:pPr>
              <w:spacing w:beforeAutospacing="1" w:afterAutospacing="1"/>
            </w:pPr>
            <w:r>
              <w:rPr>
                <w:color w:val="000000"/>
                <w:sz w:val="22"/>
              </w:rPr>
              <w:t xml:space="preserve"> </w:t>
            </w:r>
          </w:p>
        </w:tc>
        <w:tc>
          <w:tcPr>
            <w:tcW w:w="0" w:type="auto"/>
            <w:vAlign w:val="center"/>
          </w:tcPr>
          <w:p w14:paraId="7BF3105B" w14:textId="77777777" w:rsidR="003B314F" w:rsidRDefault="001764E9">
            <w:pPr>
              <w:spacing w:beforeAutospacing="1" w:afterAutospacing="1"/>
            </w:pPr>
            <w:r>
              <w:rPr>
                <w:color w:val="000000"/>
                <w:sz w:val="22"/>
              </w:rPr>
              <w:t xml:space="preserve"> </w:t>
            </w:r>
          </w:p>
        </w:tc>
        <w:tc>
          <w:tcPr>
            <w:tcW w:w="0" w:type="auto"/>
            <w:vAlign w:val="center"/>
          </w:tcPr>
          <w:p w14:paraId="36C7713D" w14:textId="77777777" w:rsidR="003B314F" w:rsidRDefault="001764E9">
            <w:pPr>
              <w:spacing w:beforeAutospacing="1" w:afterAutospacing="1"/>
            </w:pPr>
            <w:r>
              <w:rPr>
                <w:color w:val="000000"/>
                <w:sz w:val="22"/>
              </w:rPr>
              <w:t xml:space="preserve"> </w:t>
            </w:r>
          </w:p>
        </w:tc>
        <w:tc>
          <w:tcPr>
            <w:tcW w:w="0" w:type="auto"/>
            <w:vAlign w:val="center"/>
          </w:tcPr>
          <w:p w14:paraId="1C500682" w14:textId="77777777" w:rsidR="003B314F" w:rsidRDefault="001764E9">
            <w:pPr>
              <w:spacing w:beforeAutospacing="1" w:afterAutospacing="1"/>
            </w:pPr>
            <w:r>
              <w:rPr>
                <w:color w:val="000000"/>
                <w:sz w:val="22"/>
              </w:rPr>
              <w:t xml:space="preserve"> </w:t>
            </w:r>
          </w:p>
        </w:tc>
      </w:tr>
      <w:tr w:rsidR="003B314F" w14:paraId="73F47D69" w14:textId="77777777">
        <w:trPr>
          <w:cantSplit/>
        </w:trPr>
        <w:tc>
          <w:tcPr>
            <w:tcW w:w="0" w:type="auto"/>
            <w:vAlign w:val="center"/>
          </w:tcPr>
          <w:p w14:paraId="054B5E70" w14:textId="77777777" w:rsidR="003B314F" w:rsidRDefault="001764E9">
            <w:pPr>
              <w:spacing w:beforeAutospacing="1" w:afterAutospacing="1"/>
            </w:pPr>
            <w:r>
              <w:rPr>
                <w:color w:val="000000"/>
                <w:sz w:val="22"/>
              </w:rPr>
              <w:t>Support Coordinated Entry-System</w:t>
            </w:r>
          </w:p>
        </w:tc>
        <w:tc>
          <w:tcPr>
            <w:tcW w:w="0" w:type="auto"/>
            <w:vAlign w:val="center"/>
          </w:tcPr>
          <w:p w14:paraId="3772A66F" w14:textId="77777777" w:rsidR="003B314F" w:rsidRDefault="001764E9">
            <w:pPr>
              <w:spacing w:beforeAutospacing="1" w:afterAutospacing="1"/>
            </w:pPr>
            <w:r>
              <w:rPr>
                <w:color w:val="000000"/>
                <w:sz w:val="22"/>
              </w:rPr>
              <w:t>Homeless</w:t>
            </w:r>
          </w:p>
        </w:tc>
        <w:tc>
          <w:tcPr>
            <w:tcW w:w="0" w:type="auto"/>
            <w:vAlign w:val="center"/>
          </w:tcPr>
          <w:p w14:paraId="4467CF8F" w14:textId="77777777" w:rsidR="003B314F" w:rsidRDefault="001764E9">
            <w:pPr>
              <w:spacing w:beforeAutospacing="1" w:afterAutospacing="1"/>
            </w:pPr>
            <w:r>
              <w:rPr>
                <w:color w:val="000000"/>
                <w:sz w:val="22"/>
              </w:rPr>
              <w:t>CDBG: $ / ESG: $</w:t>
            </w:r>
          </w:p>
        </w:tc>
        <w:tc>
          <w:tcPr>
            <w:tcW w:w="0" w:type="auto"/>
            <w:vAlign w:val="center"/>
          </w:tcPr>
          <w:p w14:paraId="5D92759E" w14:textId="77777777" w:rsidR="003B314F" w:rsidRDefault="001764E9">
            <w:pPr>
              <w:spacing w:beforeAutospacing="1" w:afterAutospacing="1"/>
            </w:pPr>
            <w:r>
              <w:rPr>
                <w:color w:val="000000"/>
                <w:sz w:val="22"/>
              </w:rPr>
              <w:t>Public service activities other than Low/Moderate Income Housing Benefit</w:t>
            </w:r>
          </w:p>
        </w:tc>
        <w:tc>
          <w:tcPr>
            <w:tcW w:w="0" w:type="auto"/>
            <w:vAlign w:val="center"/>
          </w:tcPr>
          <w:p w14:paraId="56B711FA" w14:textId="77777777" w:rsidR="003B314F" w:rsidRDefault="001764E9">
            <w:pPr>
              <w:spacing w:beforeAutospacing="1" w:afterAutospacing="1"/>
            </w:pPr>
            <w:r>
              <w:rPr>
                <w:color w:val="000000"/>
                <w:sz w:val="22"/>
              </w:rPr>
              <w:t>Persons Assisted</w:t>
            </w:r>
          </w:p>
        </w:tc>
        <w:tc>
          <w:tcPr>
            <w:tcW w:w="0" w:type="auto"/>
            <w:vAlign w:val="center"/>
          </w:tcPr>
          <w:p w14:paraId="48398D05" w14:textId="77777777" w:rsidR="003B314F" w:rsidRDefault="001764E9">
            <w:pPr>
              <w:spacing w:beforeAutospacing="1" w:afterAutospacing="1"/>
            </w:pPr>
            <w:r>
              <w:rPr>
                <w:color w:val="000000"/>
                <w:sz w:val="22"/>
              </w:rPr>
              <w:t>0</w:t>
            </w:r>
          </w:p>
        </w:tc>
        <w:tc>
          <w:tcPr>
            <w:tcW w:w="0" w:type="auto"/>
            <w:vAlign w:val="center"/>
          </w:tcPr>
          <w:p w14:paraId="62E3D38E" w14:textId="77777777" w:rsidR="003B314F" w:rsidRDefault="001764E9">
            <w:pPr>
              <w:spacing w:beforeAutospacing="1" w:afterAutospacing="1"/>
            </w:pPr>
            <w:r>
              <w:rPr>
                <w:color w:val="000000"/>
                <w:sz w:val="22"/>
              </w:rPr>
              <w:t>688</w:t>
            </w:r>
          </w:p>
        </w:tc>
        <w:tc>
          <w:tcPr>
            <w:tcW w:w="0" w:type="auto"/>
            <w:vAlign w:val="center"/>
          </w:tcPr>
          <w:p w14:paraId="5937C726" w14:textId="77777777" w:rsidR="003B314F" w:rsidRDefault="001764E9">
            <w:pPr>
              <w:spacing w:beforeAutospacing="1" w:afterAutospacing="1"/>
            </w:pPr>
            <w:r>
              <w:rPr>
                <w:color w:val="000000"/>
                <w:sz w:val="22"/>
              </w:rPr>
              <w:t xml:space="preserve"> </w:t>
            </w:r>
          </w:p>
        </w:tc>
        <w:tc>
          <w:tcPr>
            <w:tcW w:w="0" w:type="auto"/>
            <w:vAlign w:val="center"/>
          </w:tcPr>
          <w:p w14:paraId="4BDFF178" w14:textId="77777777" w:rsidR="003B314F" w:rsidRDefault="001764E9">
            <w:pPr>
              <w:spacing w:beforeAutospacing="1" w:afterAutospacing="1"/>
            </w:pPr>
            <w:r>
              <w:rPr>
                <w:color w:val="000000"/>
                <w:sz w:val="22"/>
              </w:rPr>
              <w:t xml:space="preserve"> </w:t>
            </w:r>
          </w:p>
        </w:tc>
        <w:tc>
          <w:tcPr>
            <w:tcW w:w="0" w:type="auto"/>
            <w:vAlign w:val="center"/>
          </w:tcPr>
          <w:p w14:paraId="693F5B50" w14:textId="77777777" w:rsidR="003B314F" w:rsidRDefault="001764E9">
            <w:pPr>
              <w:spacing w:beforeAutospacing="1" w:afterAutospacing="1"/>
            </w:pPr>
            <w:r>
              <w:rPr>
                <w:color w:val="000000"/>
                <w:sz w:val="22"/>
              </w:rPr>
              <w:t xml:space="preserve"> </w:t>
            </w:r>
          </w:p>
        </w:tc>
        <w:tc>
          <w:tcPr>
            <w:tcW w:w="0" w:type="auto"/>
            <w:vAlign w:val="center"/>
          </w:tcPr>
          <w:p w14:paraId="3E9EFA48" w14:textId="77777777" w:rsidR="003B314F" w:rsidRDefault="001764E9">
            <w:pPr>
              <w:spacing w:beforeAutospacing="1" w:afterAutospacing="1"/>
            </w:pPr>
            <w:r>
              <w:rPr>
                <w:color w:val="000000"/>
                <w:sz w:val="22"/>
              </w:rPr>
              <w:t xml:space="preserve"> </w:t>
            </w:r>
          </w:p>
        </w:tc>
      </w:tr>
      <w:tr w:rsidR="003B314F" w14:paraId="77663BBE" w14:textId="77777777">
        <w:trPr>
          <w:cantSplit/>
        </w:trPr>
        <w:tc>
          <w:tcPr>
            <w:tcW w:w="0" w:type="auto"/>
            <w:vAlign w:val="center"/>
          </w:tcPr>
          <w:p w14:paraId="057C1C82" w14:textId="77777777" w:rsidR="003B314F" w:rsidRDefault="001764E9">
            <w:pPr>
              <w:spacing w:beforeAutospacing="1" w:afterAutospacing="1"/>
            </w:pPr>
            <w:r>
              <w:rPr>
                <w:color w:val="000000"/>
                <w:sz w:val="22"/>
              </w:rPr>
              <w:t>Support Coordinated Entry-System</w:t>
            </w:r>
          </w:p>
        </w:tc>
        <w:tc>
          <w:tcPr>
            <w:tcW w:w="0" w:type="auto"/>
            <w:vAlign w:val="center"/>
          </w:tcPr>
          <w:p w14:paraId="055E6858" w14:textId="77777777" w:rsidR="003B314F" w:rsidRDefault="001764E9">
            <w:pPr>
              <w:spacing w:beforeAutospacing="1" w:afterAutospacing="1"/>
            </w:pPr>
            <w:r>
              <w:rPr>
                <w:color w:val="000000"/>
                <w:sz w:val="22"/>
              </w:rPr>
              <w:t>Homeless</w:t>
            </w:r>
          </w:p>
        </w:tc>
        <w:tc>
          <w:tcPr>
            <w:tcW w:w="0" w:type="auto"/>
            <w:vAlign w:val="center"/>
          </w:tcPr>
          <w:p w14:paraId="11D5A587" w14:textId="77777777" w:rsidR="003B314F" w:rsidRDefault="001764E9">
            <w:pPr>
              <w:spacing w:beforeAutospacing="1" w:afterAutospacing="1"/>
            </w:pPr>
            <w:r>
              <w:rPr>
                <w:color w:val="000000"/>
                <w:sz w:val="22"/>
              </w:rPr>
              <w:t>CDBG: $ / ESG: $</w:t>
            </w:r>
          </w:p>
        </w:tc>
        <w:tc>
          <w:tcPr>
            <w:tcW w:w="0" w:type="auto"/>
            <w:vAlign w:val="center"/>
          </w:tcPr>
          <w:p w14:paraId="4C3BF04D" w14:textId="77777777" w:rsidR="003B314F" w:rsidRDefault="001764E9">
            <w:pPr>
              <w:spacing w:beforeAutospacing="1" w:afterAutospacing="1"/>
            </w:pPr>
            <w:r>
              <w:rPr>
                <w:color w:val="000000"/>
                <w:sz w:val="22"/>
              </w:rPr>
              <w:t>Homeless Person Overnight Shelter</w:t>
            </w:r>
          </w:p>
        </w:tc>
        <w:tc>
          <w:tcPr>
            <w:tcW w:w="0" w:type="auto"/>
            <w:vAlign w:val="center"/>
          </w:tcPr>
          <w:p w14:paraId="327EA605" w14:textId="77777777" w:rsidR="003B314F" w:rsidRDefault="001764E9">
            <w:pPr>
              <w:spacing w:beforeAutospacing="1" w:afterAutospacing="1"/>
            </w:pPr>
            <w:r>
              <w:rPr>
                <w:color w:val="000000"/>
                <w:sz w:val="22"/>
              </w:rPr>
              <w:t>Persons Assisted</w:t>
            </w:r>
          </w:p>
        </w:tc>
        <w:tc>
          <w:tcPr>
            <w:tcW w:w="0" w:type="auto"/>
            <w:vAlign w:val="center"/>
          </w:tcPr>
          <w:p w14:paraId="3FB3E4CF" w14:textId="77777777" w:rsidR="003B314F" w:rsidRDefault="001764E9">
            <w:pPr>
              <w:spacing w:beforeAutospacing="1" w:afterAutospacing="1"/>
            </w:pPr>
            <w:r>
              <w:rPr>
                <w:color w:val="000000"/>
                <w:sz w:val="22"/>
              </w:rPr>
              <w:t>0</w:t>
            </w:r>
          </w:p>
        </w:tc>
        <w:tc>
          <w:tcPr>
            <w:tcW w:w="0" w:type="auto"/>
            <w:vAlign w:val="center"/>
          </w:tcPr>
          <w:p w14:paraId="735DAE9D" w14:textId="77777777" w:rsidR="003B314F" w:rsidRDefault="001764E9">
            <w:pPr>
              <w:spacing w:beforeAutospacing="1" w:afterAutospacing="1"/>
            </w:pPr>
            <w:r>
              <w:rPr>
                <w:color w:val="000000"/>
                <w:sz w:val="22"/>
              </w:rPr>
              <w:t>6416</w:t>
            </w:r>
          </w:p>
        </w:tc>
        <w:tc>
          <w:tcPr>
            <w:tcW w:w="0" w:type="auto"/>
            <w:vAlign w:val="center"/>
          </w:tcPr>
          <w:p w14:paraId="6C00BFEF" w14:textId="77777777" w:rsidR="003B314F" w:rsidRDefault="001764E9">
            <w:pPr>
              <w:spacing w:beforeAutospacing="1" w:afterAutospacing="1"/>
            </w:pPr>
            <w:r>
              <w:rPr>
                <w:color w:val="000000"/>
                <w:sz w:val="22"/>
              </w:rPr>
              <w:t xml:space="preserve"> </w:t>
            </w:r>
          </w:p>
        </w:tc>
        <w:tc>
          <w:tcPr>
            <w:tcW w:w="0" w:type="auto"/>
            <w:vAlign w:val="center"/>
          </w:tcPr>
          <w:p w14:paraId="73D01A40" w14:textId="77777777" w:rsidR="003B314F" w:rsidRDefault="001764E9">
            <w:pPr>
              <w:spacing w:beforeAutospacing="1" w:afterAutospacing="1"/>
            </w:pPr>
            <w:r>
              <w:rPr>
                <w:color w:val="000000"/>
                <w:sz w:val="22"/>
              </w:rPr>
              <w:t xml:space="preserve"> </w:t>
            </w:r>
          </w:p>
        </w:tc>
        <w:tc>
          <w:tcPr>
            <w:tcW w:w="0" w:type="auto"/>
            <w:vAlign w:val="center"/>
          </w:tcPr>
          <w:p w14:paraId="118BEEC8" w14:textId="77777777" w:rsidR="003B314F" w:rsidRDefault="001764E9">
            <w:pPr>
              <w:spacing w:beforeAutospacing="1" w:afterAutospacing="1"/>
            </w:pPr>
            <w:r>
              <w:rPr>
                <w:color w:val="000000"/>
                <w:sz w:val="22"/>
              </w:rPr>
              <w:t xml:space="preserve"> </w:t>
            </w:r>
          </w:p>
        </w:tc>
        <w:tc>
          <w:tcPr>
            <w:tcW w:w="0" w:type="auto"/>
            <w:vAlign w:val="center"/>
          </w:tcPr>
          <w:p w14:paraId="405426ED" w14:textId="77777777" w:rsidR="003B314F" w:rsidRDefault="001764E9">
            <w:pPr>
              <w:spacing w:beforeAutospacing="1" w:afterAutospacing="1"/>
            </w:pPr>
            <w:r>
              <w:rPr>
                <w:color w:val="000000"/>
                <w:sz w:val="22"/>
              </w:rPr>
              <w:t xml:space="preserve"> </w:t>
            </w:r>
          </w:p>
        </w:tc>
      </w:tr>
      <w:tr w:rsidR="003B314F" w14:paraId="047B9A0D" w14:textId="77777777">
        <w:trPr>
          <w:cantSplit/>
        </w:trPr>
        <w:tc>
          <w:tcPr>
            <w:tcW w:w="0" w:type="auto"/>
            <w:vAlign w:val="center"/>
          </w:tcPr>
          <w:p w14:paraId="280EEC93" w14:textId="77777777" w:rsidR="003B314F" w:rsidRDefault="001764E9">
            <w:pPr>
              <w:spacing w:beforeAutospacing="1" w:afterAutospacing="1"/>
            </w:pPr>
            <w:r>
              <w:rPr>
                <w:color w:val="000000"/>
                <w:sz w:val="22"/>
              </w:rPr>
              <w:t>Support Coordinated Entry-System</w:t>
            </w:r>
          </w:p>
        </w:tc>
        <w:tc>
          <w:tcPr>
            <w:tcW w:w="0" w:type="auto"/>
            <w:vAlign w:val="center"/>
          </w:tcPr>
          <w:p w14:paraId="5F968351" w14:textId="77777777" w:rsidR="003B314F" w:rsidRDefault="001764E9">
            <w:pPr>
              <w:spacing w:beforeAutospacing="1" w:afterAutospacing="1"/>
            </w:pPr>
            <w:r>
              <w:rPr>
                <w:color w:val="000000"/>
                <w:sz w:val="22"/>
              </w:rPr>
              <w:t>Homeless</w:t>
            </w:r>
          </w:p>
        </w:tc>
        <w:tc>
          <w:tcPr>
            <w:tcW w:w="0" w:type="auto"/>
            <w:vAlign w:val="center"/>
          </w:tcPr>
          <w:p w14:paraId="2C3891F2" w14:textId="77777777" w:rsidR="003B314F" w:rsidRDefault="001764E9">
            <w:pPr>
              <w:spacing w:beforeAutospacing="1" w:afterAutospacing="1"/>
            </w:pPr>
            <w:r>
              <w:rPr>
                <w:color w:val="000000"/>
                <w:sz w:val="22"/>
              </w:rPr>
              <w:t>CDBG: $ / ESG: $</w:t>
            </w:r>
          </w:p>
        </w:tc>
        <w:tc>
          <w:tcPr>
            <w:tcW w:w="0" w:type="auto"/>
            <w:vAlign w:val="center"/>
          </w:tcPr>
          <w:p w14:paraId="1143AA63" w14:textId="77777777" w:rsidR="003B314F" w:rsidRDefault="001764E9">
            <w:pPr>
              <w:spacing w:beforeAutospacing="1" w:afterAutospacing="1"/>
            </w:pPr>
            <w:r>
              <w:rPr>
                <w:color w:val="000000"/>
                <w:sz w:val="22"/>
              </w:rPr>
              <w:t>Overnight/Emergency Shelter/Transitional Housing Beds added</w:t>
            </w:r>
          </w:p>
        </w:tc>
        <w:tc>
          <w:tcPr>
            <w:tcW w:w="0" w:type="auto"/>
            <w:vAlign w:val="center"/>
          </w:tcPr>
          <w:p w14:paraId="6BEC57A7" w14:textId="77777777" w:rsidR="003B314F" w:rsidRDefault="001764E9">
            <w:pPr>
              <w:spacing w:beforeAutospacing="1" w:afterAutospacing="1"/>
            </w:pPr>
            <w:r>
              <w:rPr>
                <w:color w:val="000000"/>
                <w:sz w:val="22"/>
              </w:rPr>
              <w:t>Beds</w:t>
            </w:r>
          </w:p>
        </w:tc>
        <w:tc>
          <w:tcPr>
            <w:tcW w:w="0" w:type="auto"/>
            <w:vAlign w:val="center"/>
          </w:tcPr>
          <w:p w14:paraId="64EB8AA4" w14:textId="77777777" w:rsidR="003B314F" w:rsidRDefault="001764E9">
            <w:pPr>
              <w:spacing w:beforeAutospacing="1" w:afterAutospacing="1"/>
            </w:pPr>
            <w:r>
              <w:rPr>
                <w:color w:val="000000"/>
                <w:sz w:val="22"/>
              </w:rPr>
              <w:t>22000</w:t>
            </w:r>
          </w:p>
        </w:tc>
        <w:tc>
          <w:tcPr>
            <w:tcW w:w="0" w:type="auto"/>
            <w:vAlign w:val="center"/>
          </w:tcPr>
          <w:p w14:paraId="3B32A1DA" w14:textId="77777777" w:rsidR="003B314F" w:rsidRDefault="001764E9">
            <w:pPr>
              <w:spacing w:beforeAutospacing="1" w:afterAutospacing="1"/>
            </w:pPr>
            <w:r>
              <w:rPr>
                <w:color w:val="000000"/>
                <w:sz w:val="22"/>
              </w:rPr>
              <w:t>521</w:t>
            </w:r>
          </w:p>
        </w:tc>
        <w:tc>
          <w:tcPr>
            <w:tcW w:w="0" w:type="auto"/>
            <w:vAlign w:val="center"/>
          </w:tcPr>
          <w:p w14:paraId="2077EDBB" w14:textId="77777777" w:rsidR="003B314F" w:rsidRDefault="001764E9">
            <w:pPr>
              <w:spacing w:beforeAutospacing="1" w:afterAutospacing="1"/>
            </w:pPr>
            <w:r>
              <w:rPr>
                <w:color w:val="000000"/>
                <w:sz w:val="22"/>
              </w:rPr>
              <w:t xml:space="preserve">         2.37%</w:t>
            </w:r>
          </w:p>
        </w:tc>
        <w:tc>
          <w:tcPr>
            <w:tcW w:w="0" w:type="auto"/>
            <w:vAlign w:val="center"/>
          </w:tcPr>
          <w:p w14:paraId="33E7E7FD" w14:textId="77777777" w:rsidR="003B314F" w:rsidRDefault="001764E9">
            <w:pPr>
              <w:spacing w:beforeAutospacing="1" w:afterAutospacing="1"/>
            </w:pPr>
            <w:r>
              <w:rPr>
                <w:color w:val="000000"/>
                <w:sz w:val="22"/>
              </w:rPr>
              <w:t xml:space="preserve"> </w:t>
            </w:r>
          </w:p>
        </w:tc>
        <w:tc>
          <w:tcPr>
            <w:tcW w:w="0" w:type="auto"/>
            <w:vAlign w:val="center"/>
          </w:tcPr>
          <w:p w14:paraId="62BBB292" w14:textId="77777777" w:rsidR="003B314F" w:rsidRDefault="001764E9">
            <w:pPr>
              <w:spacing w:beforeAutospacing="1" w:afterAutospacing="1"/>
            </w:pPr>
            <w:r>
              <w:rPr>
                <w:color w:val="000000"/>
                <w:sz w:val="22"/>
              </w:rPr>
              <w:t xml:space="preserve"> </w:t>
            </w:r>
          </w:p>
        </w:tc>
        <w:tc>
          <w:tcPr>
            <w:tcW w:w="0" w:type="auto"/>
            <w:vAlign w:val="center"/>
          </w:tcPr>
          <w:p w14:paraId="55BE66D3" w14:textId="77777777" w:rsidR="003B314F" w:rsidRDefault="001764E9">
            <w:pPr>
              <w:spacing w:beforeAutospacing="1" w:afterAutospacing="1"/>
            </w:pPr>
            <w:r>
              <w:rPr>
                <w:color w:val="000000"/>
                <w:sz w:val="22"/>
              </w:rPr>
              <w:t xml:space="preserve"> </w:t>
            </w:r>
          </w:p>
        </w:tc>
      </w:tr>
      <w:tr w:rsidR="003B314F" w14:paraId="735DB542" w14:textId="77777777">
        <w:trPr>
          <w:cantSplit/>
        </w:trPr>
        <w:tc>
          <w:tcPr>
            <w:tcW w:w="0" w:type="auto"/>
            <w:vAlign w:val="center"/>
          </w:tcPr>
          <w:p w14:paraId="14D19FB2" w14:textId="77777777" w:rsidR="003B314F" w:rsidRDefault="001764E9">
            <w:pPr>
              <w:spacing w:beforeAutospacing="1" w:afterAutospacing="1"/>
            </w:pPr>
            <w:r>
              <w:rPr>
                <w:color w:val="000000"/>
                <w:sz w:val="22"/>
              </w:rPr>
              <w:lastRenderedPageBreak/>
              <w:t>Support Coordinated Entry-System</w:t>
            </w:r>
          </w:p>
        </w:tc>
        <w:tc>
          <w:tcPr>
            <w:tcW w:w="0" w:type="auto"/>
            <w:vAlign w:val="center"/>
          </w:tcPr>
          <w:p w14:paraId="48E82144" w14:textId="77777777" w:rsidR="003B314F" w:rsidRDefault="001764E9">
            <w:pPr>
              <w:spacing w:beforeAutospacing="1" w:afterAutospacing="1"/>
            </w:pPr>
            <w:r>
              <w:rPr>
                <w:color w:val="000000"/>
                <w:sz w:val="22"/>
              </w:rPr>
              <w:t>Homeless</w:t>
            </w:r>
          </w:p>
        </w:tc>
        <w:tc>
          <w:tcPr>
            <w:tcW w:w="0" w:type="auto"/>
            <w:vAlign w:val="center"/>
          </w:tcPr>
          <w:p w14:paraId="0C5110FD" w14:textId="77777777" w:rsidR="003B314F" w:rsidRDefault="001764E9">
            <w:pPr>
              <w:spacing w:beforeAutospacing="1" w:afterAutospacing="1"/>
            </w:pPr>
            <w:r>
              <w:rPr>
                <w:color w:val="000000"/>
                <w:sz w:val="22"/>
              </w:rPr>
              <w:t>CDBG: $ / ESG: $</w:t>
            </w:r>
          </w:p>
        </w:tc>
        <w:tc>
          <w:tcPr>
            <w:tcW w:w="0" w:type="auto"/>
            <w:vAlign w:val="center"/>
          </w:tcPr>
          <w:p w14:paraId="1D0560E0" w14:textId="77777777" w:rsidR="003B314F" w:rsidRDefault="001764E9">
            <w:pPr>
              <w:spacing w:beforeAutospacing="1" w:afterAutospacing="1"/>
            </w:pPr>
            <w:r>
              <w:rPr>
                <w:color w:val="000000"/>
                <w:sz w:val="22"/>
              </w:rPr>
              <w:t>Homelessness Prevention</w:t>
            </w:r>
          </w:p>
        </w:tc>
        <w:tc>
          <w:tcPr>
            <w:tcW w:w="0" w:type="auto"/>
            <w:vAlign w:val="center"/>
          </w:tcPr>
          <w:p w14:paraId="7262363B" w14:textId="77777777" w:rsidR="003B314F" w:rsidRDefault="001764E9">
            <w:pPr>
              <w:spacing w:beforeAutospacing="1" w:afterAutospacing="1"/>
            </w:pPr>
            <w:r>
              <w:rPr>
                <w:color w:val="000000"/>
                <w:sz w:val="22"/>
              </w:rPr>
              <w:t>Persons Assisted</w:t>
            </w:r>
          </w:p>
        </w:tc>
        <w:tc>
          <w:tcPr>
            <w:tcW w:w="0" w:type="auto"/>
            <w:vAlign w:val="center"/>
          </w:tcPr>
          <w:p w14:paraId="3CC772DD" w14:textId="77777777" w:rsidR="003B314F" w:rsidRDefault="001764E9">
            <w:pPr>
              <w:spacing w:beforeAutospacing="1" w:afterAutospacing="1"/>
            </w:pPr>
            <w:r>
              <w:rPr>
                <w:color w:val="000000"/>
                <w:sz w:val="22"/>
              </w:rPr>
              <w:t>0</w:t>
            </w:r>
          </w:p>
        </w:tc>
        <w:tc>
          <w:tcPr>
            <w:tcW w:w="0" w:type="auto"/>
            <w:vAlign w:val="center"/>
          </w:tcPr>
          <w:p w14:paraId="4A8E64D2" w14:textId="77777777" w:rsidR="003B314F" w:rsidRDefault="001764E9">
            <w:pPr>
              <w:spacing w:beforeAutospacing="1" w:afterAutospacing="1"/>
            </w:pPr>
            <w:r>
              <w:rPr>
                <w:color w:val="000000"/>
                <w:sz w:val="22"/>
              </w:rPr>
              <w:t>0</w:t>
            </w:r>
          </w:p>
        </w:tc>
        <w:tc>
          <w:tcPr>
            <w:tcW w:w="0" w:type="auto"/>
            <w:vAlign w:val="center"/>
          </w:tcPr>
          <w:p w14:paraId="53BEB2A4" w14:textId="77777777" w:rsidR="003B314F" w:rsidRDefault="001764E9">
            <w:pPr>
              <w:spacing w:beforeAutospacing="1" w:afterAutospacing="1"/>
            </w:pPr>
            <w:r>
              <w:rPr>
                <w:color w:val="000000"/>
                <w:sz w:val="22"/>
              </w:rPr>
              <w:t xml:space="preserve"> </w:t>
            </w:r>
          </w:p>
        </w:tc>
        <w:tc>
          <w:tcPr>
            <w:tcW w:w="0" w:type="auto"/>
            <w:vAlign w:val="center"/>
          </w:tcPr>
          <w:p w14:paraId="55D81C10" w14:textId="77777777" w:rsidR="003B314F" w:rsidRDefault="001764E9">
            <w:pPr>
              <w:spacing w:beforeAutospacing="1" w:afterAutospacing="1"/>
            </w:pPr>
            <w:r>
              <w:rPr>
                <w:color w:val="000000"/>
                <w:sz w:val="22"/>
              </w:rPr>
              <w:t>2200</w:t>
            </w:r>
          </w:p>
        </w:tc>
        <w:tc>
          <w:tcPr>
            <w:tcW w:w="0" w:type="auto"/>
            <w:vAlign w:val="center"/>
          </w:tcPr>
          <w:p w14:paraId="5EB96D86" w14:textId="77777777" w:rsidR="003B314F" w:rsidRDefault="001764E9">
            <w:pPr>
              <w:spacing w:beforeAutospacing="1" w:afterAutospacing="1"/>
            </w:pPr>
            <w:r>
              <w:rPr>
                <w:color w:val="000000"/>
                <w:sz w:val="22"/>
              </w:rPr>
              <w:t>0</w:t>
            </w:r>
          </w:p>
        </w:tc>
        <w:tc>
          <w:tcPr>
            <w:tcW w:w="0" w:type="auto"/>
            <w:vAlign w:val="center"/>
          </w:tcPr>
          <w:p w14:paraId="0AAB941C" w14:textId="77777777" w:rsidR="003B314F" w:rsidRDefault="001764E9">
            <w:pPr>
              <w:spacing w:beforeAutospacing="1" w:afterAutospacing="1"/>
            </w:pPr>
            <w:r>
              <w:rPr>
                <w:color w:val="000000"/>
                <w:sz w:val="22"/>
              </w:rPr>
              <w:t xml:space="preserve">         0.00%</w:t>
            </w:r>
          </w:p>
        </w:tc>
      </w:tr>
      <w:tr w:rsidR="003B314F" w14:paraId="56715AF6" w14:textId="77777777">
        <w:trPr>
          <w:cantSplit/>
        </w:trPr>
        <w:tc>
          <w:tcPr>
            <w:tcW w:w="0" w:type="auto"/>
            <w:vAlign w:val="center"/>
          </w:tcPr>
          <w:p w14:paraId="6CFFA2EE" w14:textId="77777777" w:rsidR="003B314F" w:rsidRDefault="001764E9">
            <w:pPr>
              <w:spacing w:beforeAutospacing="1" w:afterAutospacing="1"/>
            </w:pPr>
            <w:r>
              <w:rPr>
                <w:color w:val="000000"/>
                <w:sz w:val="22"/>
              </w:rPr>
              <w:t>Support Economic Development Initiatives</w:t>
            </w:r>
          </w:p>
        </w:tc>
        <w:tc>
          <w:tcPr>
            <w:tcW w:w="0" w:type="auto"/>
            <w:vAlign w:val="center"/>
          </w:tcPr>
          <w:p w14:paraId="261A6B57" w14:textId="77777777" w:rsidR="003B314F" w:rsidRDefault="001764E9">
            <w:pPr>
              <w:spacing w:beforeAutospacing="1" w:afterAutospacing="1"/>
            </w:pPr>
            <w:r>
              <w:rPr>
                <w:color w:val="000000"/>
                <w:sz w:val="22"/>
              </w:rPr>
              <w:t>Non-Housing Community Development</w:t>
            </w:r>
          </w:p>
        </w:tc>
        <w:tc>
          <w:tcPr>
            <w:tcW w:w="0" w:type="auto"/>
            <w:vAlign w:val="center"/>
          </w:tcPr>
          <w:p w14:paraId="5E94AB37" w14:textId="77777777" w:rsidR="003B314F" w:rsidRDefault="001764E9">
            <w:pPr>
              <w:spacing w:beforeAutospacing="1" w:afterAutospacing="1"/>
            </w:pPr>
            <w:r>
              <w:rPr>
                <w:color w:val="000000"/>
                <w:sz w:val="22"/>
              </w:rPr>
              <w:t>CDBG: $</w:t>
            </w:r>
          </w:p>
        </w:tc>
        <w:tc>
          <w:tcPr>
            <w:tcW w:w="0" w:type="auto"/>
            <w:vAlign w:val="center"/>
          </w:tcPr>
          <w:p w14:paraId="0879492E" w14:textId="77777777" w:rsidR="003B314F" w:rsidRDefault="001764E9">
            <w:pPr>
              <w:spacing w:beforeAutospacing="1" w:afterAutospacing="1"/>
            </w:pPr>
            <w:r>
              <w:rPr>
                <w:color w:val="000000"/>
                <w:sz w:val="22"/>
              </w:rPr>
              <w:t>Public Facility or Infrastructure Activities other than Low/Moderate Income Housing Benefit</w:t>
            </w:r>
          </w:p>
        </w:tc>
        <w:tc>
          <w:tcPr>
            <w:tcW w:w="0" w:type="auto"/>
            <w:vAlign w:val="center"/>
          </w:tcPr>
          <w:p w14:paraId="2FF92847" w14:textId="77777777" w:rsidR="003B314F" w:rsidRDefault="001764E9">
            <w:pPr>
              <w:spacing w:beforeAutospacing="1" w:afterAutospacing="1"/>
            </w:pPr>
            <w:r>
              <w:rPr>
                <w:color w:val="000000"/>
                <w:sz w:val="22"/>
              </w:rPr>
              <w:t>Persons Assisted</w:t>
            </w:r>
          </w:p>
        </w:tc>
        <w:tc>
          <w:tcPr>
            <w:tcW w:w="0" w:type="auto"/>
            <w:vAlign w:val="center"/>
          </w:tcPr>
          <w:p w14:paraId="048AF8F9" w14:textId="77777777" w:rsidR="003B314F" w:rsidRDefault="001764E9">
            <w:pPr>
              <w:spacing w:beforeAutospacing="1" w:afterAutospacing="1"/>
            </w:pPr>
            <w:r>
              <w:rPr>
                <w:color w:val="000000"/>
                <w:sz w:val="22"/>
              </w:rPr>
              <w:t>0</w:t>
            </w:r>
          </w:p>
        </w:tc>
        <w:tc>
          <w:tcPr>
            <w:tcW w:w="0" w:type="auto"/>
            <w:vAlign w:val="center"/>
          </w:tcPr>
          <w:p w14:paraId="627E1F61" w14:textId="77777777" w:rsidR="003B314F" w:rsidRDefault="001764E9">
            <w:pPr>
              <w:spacing w:beforeAutospacing="1" w:afterAutospacing="1"/>
            </w:pPr>
            <w:r>
              <w:rPr>
                <w:color w:val="000000"/>
                <w:sz w:val="22"/>
              </w:rPr>
              <w:t>5455</w:t>
            </w:r>
          </w:p>
        </w:tc>
        <w:tc>
          <w:tcPr>
            <w:tcW w:w="0" w:type="auto"/>
            <w:vAlign w:val="center"/>
          </w:tcPr>
          <w:p w14:paraId="1B86AB8D" w14:textId="77777777" w:rsidR="003B314F" w:rsidRDefault="001764E9">
            <w:pPr>
              <w:spacing w:beforeAutospacing="1" w:afterAutospacing="1"/>
            </w:pPr>
            <w:r>
              <w:rPr>
                <w:color w:val="000000"/>
                <w:sz w:val="22"/>
              </w:rPr>
              <w:t xml:space="preserve"> </w:t>
            </w:r>
          </w:p>
        </w:tc>
        <w:tc>
          <w:tcPr>
            <w:tcW w:w="0" w:type="auto"/>
            <w:vAlign w:val="center"/>
          </w:tcPr>
          <w:p w14:paraId="186FF580" w14:textId="77777777" w:rsidR="003B314F" w:rsidRDefault="001764E9">
            <w:pPr>
              <w:spacing w:beforeAutospacing="1" w:afterAutospacing="1"/>
            </w:pPr>
            <w:r>
              <w:rPr>
                <w:color w:val="000000"/>
                <w:sz w:val="22"/>
              </w:rPr>
              <w:t>0</w:t>
            </w:r>
          </w:p>
        </w:tc>
        <w:tc>
          <w:tcPr>
            <w:tcW w:w="0" w:type="auto"/>
            <w:vAlign w:val="center"/>
          </w:tcPr>
          <w:p w14:paraId="1A29E899" w14:textId="77777777" w:rsidR="003B314F" w:rsidRDefault="001764E9">
            <w:pPr>
              <w:spacing w:beforeAutospacing="1" w:afterAutospacing="1"/>
            </w:pPr>
            <w:r>
              <w:rPr>
                <w:color w:val="000000"/>
                <w:sz w:val="22"/>
              </w:rPr>
              <w:t>5455</w:t>
            </w:r>
          </w:p>
        </w:tc>
        <w:tc>
          <w:tcPr>
            <w:tcW w:w="0" w:type="auto"/>
            <w:vAlign w:val="center"/>
          </w:tcPr>
          <w:p w14:paraId="54CCF8CB" w14:textId="77777777" w:rsidR="003B314F" w:rsidRDefault="001764E9">
            <w:pPr>
              <w:spacing w:beforeAutospacing="1" w:afterAutospacing="1"/>
            </w:pPr>
            <w:r>
              <w:rPr>
                <w:color w:val="000000"/>
                <w:sz w:val="22"/>
              </w:rPr>
              <w:t xml:space="preserve"> </w:t>
            </w:r>
          </w:p>
        </w:tc>
      </w:tr>
      <w:tr w:rsidR="003B314F" w14:paraId="73232C46" w14:textId="77777777">
        <w:trPr>
          <w:cantSplit/>
        </w:trPr>
        <w:tc>
          <w:tcPr>
            <w:tcW w:w="0" w:type="auto"/>
            <w:vAlign w:val="center"/>
          </w:tcPr>
          <w:p w14:paraId="55BB79B0" w14:textId="77777777" w:rsidR="003B314F" w:rsidRDefault="001764E9">
            <w:pPr>
              <w:spacing w:beforeAutospacing="1" w:afterAutospacing="1"/>
            </w:pPr>
            <w:r>
              <w:rPr>
                <w:color w:val="000000"/>
                <w:sz w:val="22"/>
              </w:rPr>
              <w:t>Support Economic Development Initiatives</w:t>
            </w:r>
          </w:p>
        </w:tc>
        <w:tc>
          <w:tcPr>
            <w:tcW w:w="0" w:type="auto"/>
            <w:vAlign w:val="center"/>
          </w:tcPr>
          <w:p w14:paraId="14384B7A" w14:textId="77777777" w:rsidR="003B314F" w:rsidRDefault="001764E9">
            <w:pPr>
              <w:spacing w:beforeAutospacing="1" w:afterAutospacing="1"/>
            </w:pPr>
            <w:r>
              <w:rPr>
                <w:color w:val="000000"/>
                <w:sz w:val="22"/>
              </w:rPr>
              <w:t>Non-Housing Community Development</w:t>
            </w:r>
          </w:p>
        </w:tc>
        <w:tc>
          <w:tcPr>
            <w:tcW w:w="0" w:type="auto"/>
            <w:vAlign w:val="center"/>
          </w:tcPr>
          <w:p w14:paraId="4EB4486F" w14:textId="77777777" w:rsidR="003B314F" w:rsidRDefault="001764E9">
            <w:pPr>
              <w:spacing w:beforeAutospacing="1" w:afterAutospacing="1"/>
            </w:pPr>
            <w:r>
              <w:rPr>
                <w:color w:val="000000"/>
                <w:sz w:val="22"/>
              </w:rPr>
              <w:t>CDBG: $</w:t>
            </w:r>
          </w:p>
        </w:tc>
        <w:tc>
          <w:tcPr>
            <w:tcW w:w="0" w:type="auto"/>
            <w:vAlign w:val="center"/>
          </w:tcPr>
          <w:p w14:paraId="754B9E3E" w14:textId="77777777" w:rsidR="003B314F" w:rsidRDefault="001764E9">
            <w:pPr>
              <w:spacing w:beforeAutospacing="1" w:afterAutospacing="1"/>
            </w:pPr>
            <w:r>
              <w:rPr>
                <w:color w:val="000000"/>
                <w:sz w:val="22"/>
              </w:rPr>
              <w:t>Facade treatment/business building rehabilitation</w:t>
            </w:r>
          </w:p>
        </w:tc>
        <w:tc>
          <w:tcPr>
            <w:tcW w:w="0" w:type="auto"/>
            <w:vAlign w:val="center"/>
          </w:tcPr>
          <w:p w14:paraId="71029B25" w14:textId="77777777" w:rsidR="003B314F" w:rsidRDefault="001764E9">
            <w:pPr>
              <w:spacing w:beforeAutospacing="1" w:afterAutospacing="1"/>
            </w:pPr>
            <w:r>
              <w:rPr>
                <w:color w:val="000000"/>
                <w:sz w:val="22"/>
              </w:rPr>
              <w:t>Business</w:t>
            </w:r>
          </w:p>
        </w:tc>
        <w:tc>
          <w:tcPr>
            <w:tcW w:w="0" w:type="auto"/>
            <w:vAlign w:val="center"/>
          </w:tcPr>
          <w:p w14:paraId="0C06C691" w14:textId="77777777" w:rsidR="003B314F" w:rsidRDefault="001764E9">
            <w:pPr>
              <w:spacing w:beforeAutospacing="1" w:afterAutospacing="1"/>
            </w:pPr>
            <w:r>
              <w:rPr>
                <w:color w:val="000000"/>
                <w:sz w:val="22"/>
              </w:rPr>
              <w:t>10</w:t>
            </w:r>
          </w:p>
        </w:tc>
        <w:tc>
          <w:tcPr>
            <w:tcW w:w="0" w:type="auto"/>
            <w:vAlign w:val="center"/>
          </w:tcPr>
          <w:p w14:paraId="7AFC6058" w14:textId="77777777" w:rsidR="003B314F" w:rsidRDefault="001764E9">
            <w:pPr>
              <w:spacing w:beforeAutospacing="1" w:afterAutospacing="1"/>
            </w:pPr>
            <w:r>
              <w:rPr>
                <w:color w:val="000000"/>
                <w:sz w:val="22"/>
              </w:rPr>
              <w:t>1</w:t>
            </w:r>
          </w:p>
        </w:tc>
        <w:tc>
          <w:tcPr>
            <w:tcW w:w="0" w:type="auto"/>
            <w:vAlign w:val="center"/>
          </w:tcPr>
          <w:p w14:paraId="3F090E99" w14:textId="77777777" w:rsidR="003B314F" w:rsidRDefault="001764E9">
            <w:pPr>
              <w:spacing w:beforeAutospacing="1" w:afterAutospacing="1"/>
            </w:pPr>
            <w:r>
              <w:rPr>
                <w:color w:val="000000"/>
                <w:sz w:val="22"/>
              </w:rPr>
              <w:t xml:space="preserve">        10.00%</w:t>
            </w:r>
          </w:p>
        </w:tc>
        <w:tc>
          <w:tcPr>
            <w:tcW w:w="0" w:type="auto"/>
            <w:vAlign w:val="center"/>
          </w:tcPr>
          <w:p w14:paraId="5981DC85" w14:textId="77777777" w:rsidR="003B314F" w:rsidRDefault="001764E9">
            <w:pPr>
              <w:spacing w:beforeAutospacing="1" w:afterAutospacing="1"/>
            </w:pPr>
            <w:r>
              <w:rPr>
                <w:color w:val="000000"/>
                <w:sz w:val="22"/>
              </w:rPr>
              <w:t>0</w:t>
            </w:r>
          </w:p>
        </w:tc>
        <w:tc>
          <w:tcPr>
            <w:tcW w:w="0" w:type="auto"/>
            <w:vAlign w:val="center"/>
          </w:tcPr>
          <w:p w14:paraId="65F5CB75" w14:textId="77777777" w:rsidR="003B314F" w:rsidRDefault="001764E9">
            <w:pPr>
              <w:spacing w:beforeAutospacing="1" w:afterAutospacing="1"/>
            </w:pPr>
            <w:r>
              <w:rPr>
                <w:color w:val="000000"/>
                <w:sz w:val="22"/>
              </w:rPr>
              <w:t>1</w:t>
            </w:r>
          </w:p>
        </w:tc>
        <w:tc>
          <w:tcPr>
            <w:tcW w:w="0" w:type="auto"/>
            <w:vAlign w:val="center"/>
          </w:tcPr>
          <w:p w14:paraId="218B2BFC" w14:textId="77777777" w:rsidR="003B314F" w:rsidRDefault="001764E9">
            <w:pPr>
              <w:spacing w:beforeAutospacing="1" w:afterAutospacing="1"/>
            </w:pPr>
            <w:r>
              <w:rPr>
                <w:color w:val="000000"/>
                <w:sz w:val="22"/>
              </w:rPr>
              <w:t xml:space="preserve"> </w:t>
            </w:r>
          </w:p>
        </w:tc>
      </w:tr>
      <w:tr w:rsidR="003B314F" w14:paraId="656D324D" w14:textId="77777777">
        <w:trPr>
          <w:cantSplit/>
        </w:trPr>
        <w:tc>
          <w:tcPr>
            <w:tcW w:w="0" w:type="auto"/>
            <w:vAlign w:val="center"/>
          </w:tcPr>
          <w:p w14:paraId="27666F72" w14:textId="77777777" w:rsidR="003B314F" w:rsidRDefault="001764E9">
            <w:pPr>
              <w:spacing w:beforeAutospacing="1" w:afterAutospacing="1"/>
            </w:pPr>
            <w:r>
              <w:rPr>
                <w:color w:val="000000"/>
                <w:sz w:val="22"/>
              </w:rPr>
              <w:t>Support Economic Development Initiatives</w:t>
            </w:r>
          </w:p>
        </w:tc>
        <w:tc>
          <w:tcPr>
            <w:tcW w:w="0" w:type="auto"/>
            <w:vAlign w:val="center"/>
          </w:tcPr>
          <w:p w14:paraId="1FCE1F30" w14:textId="77777777" w:rsidR="003B314F" w:rsidRDefault="001764E9">
            <w:pPr>
              <w:spacing w:beforeAutospacing="1" w:afterAutospacing="1"/>
            </w:pPr>
            <w:r>
              <w:rPr>
                <w:color w:val="000000"/>
                <w:sz w:val="22"/>
              </w:rPr>
              <w:t>Non-Housing Community Development</w:t>
            </w:r>
          </w:p>
        </w:tc>
        <w:tc>
          <w:tcPr>
            <w:tcW w:w="0" w:type="auto"/>
            <w:vAlign w:val="center"/>
          </w:tcPr>
          <w:p w14:paraId="418F45CF" w14:textId="77777777" w:rsidR="003B314F" w:rsidRDefault="001764E9">
            <w:pPr>
              <w:spacing w:beforeAutospacing="1" w:afterAutospacing="1"/>
            </w:pPr>
            <w:r>
              <w:rPr>
                <w:color w:val="000000"/>
                <w:sz w:val="22"/>
              </w:rPr>
              <w:t>CDBG: $</w:t>
            </w:r>
          </w:p>
        </w:tc>
        <w:tc>
          <w:tcPr>
            <w:tcW w:w="0" w:type="auto"/>
            <w:vAlign w:val="center"/>
          </w:tcPr>
          <w:p w14:paraId="3075FA14" w14:textId="77777777" w:rsidR="003B314F" w:rsidRDefault="001764E9">
            <w:pPr>
              <w:spacing w:beforeAutospacing="1" w:afterAutospacing="1"/>
            </w:pPr>
            <w:r>
              <w:rPr>
                <w:color w:val="000000"/>
                <w:sz w:val="22"/>
              </w:rPr>
              <w:t>Jobs created/retained</w:t>
            </w:r>
          </w:p>
        </w:tc>
        <w:tc>
          <w:tcPr>
            <w:tcW w:w="0" w:type="auto"/>
            <w:vAlign w:val="center"/>
          </w:tcPr>
          <w:p w14:paraId="3907AFFA" w14:textId="77777777" w:rsidR="003B314F" w:rsidRDefault="001764E9">
            <w:pPr>
              <w:spacing w:beforeAutospacing="1" w:afterAutospacing="1"/>
            </w:pPr>
            <w:r>
              <w:rPr>
                <w:color w:val="000000"/>
                <w:sz w:val="22"/>
              </w:rPr>
              <w:t>Jobs</w:t>
            </w:r>
          </w:p>
        </w:tc>
        <w:tc>
          <w:tcPr>
            <w:tcW w:w="0" w:type="auto"/>
            <w:vAlign w:val="center"/>
          </w:tcPr>
          <w:p w14:paraId="76F6D412" w14:textId="77777777" w:rsidR="003B314F" w:rsidRDefault="001764E9">
            <w:pPr>
              <w:spacing w:beforeAutospacing="1" w:afterAutospacing="1"/>
            </w:pPr>
            <w:r>
              <w:rPr>
                <w:color w:val="000000"/>
                <w:sz w:val="22"/>
              </w:rPr>
              <w:t>11</w:t>
            </w:r>
          </w:p>
        </w:tc>
        <w:tc>
          <w:tcPr>
            <w:tcW w:w="0" w:type="auto"/>
            <w:vAlign w:val="center"/>
          </w:tcPr>
          <w:p w14:paraId="7632B6F7" w14:textId="77777777" w:rsidR="003B314F" w:rsidRDefault="001764E9">
            <w:pPr>
              <w:spacing w:beforeAutospacing="1" w:afterAutospacing="1"/>
            </w:pPr>
            <w:r>
              <w:rPr>
                <w:color w:val="000000"/>
                <w:sz w:val="22"/>
              </w:rPr>
              <w:t>0</w:t>
            </w:r>
          </w:p>
        </w:tc>
        <w:tc>
          <w:tcPr>
            <w:tcW w:w="0" w:type="auto"/>
            <w:vAlign w:val="center"/>
          </w:tcPr>
          <w:p w14:paraId="12A20876" w14:textId="77777777" w:rsidR="003B314F" w:rsidRDefault="001764E9">
            <w:pPr>
              <w:spacing w:beforeAutospacing="1" w:afterAutospacing="1"/>
            </w:pPr>
            <w:r>
              <w:rPr>
                <w:color w:val="000000"/>
                <w:sz w:val="22"/>
              </w:rPr>
              <w:t xml:space="preserve">         0.00%</w:t>
            </w:r>
          </w:p>
        </w:tc>
        <w:tc>
          <w:tcPr>
            <w:tcW w:w="0" w:type="auto"/>
            <w:vAlign w:val="center"/>
          </w:tcPr>
          <w:p w14:paraId="6D2B4B8A" w14:textId="77777777" w:rsidR="003B314F" w:rsidRDefault="001764E9">
            <w:pPr>
              <w:spacing w:beforeAutospacing="1" w:afterAutospacing="1"/>
            </w:pPr>
            <w:r>
              <w:rPr>
                <w:color w:val="000000"/>
                <w:sz w:val="22"/>
              </w:rPr>
              <w:t xml:space="preserve"> </w:t>
            </w:r>
          </w:p>
        </w:tc>
        <w:tc>
          <w:tcPr>
            <w:tcW w:w="0" w:type="auto"/>
            <w:vAlign w:val="center"/>
          </w:tcPr>
          <w:p w14:paraId="30FDE193" w14:textId="77777777" w:rsidR="003B314F" w:rsidRDefault="001764E9">
            <w:pPr>
              <w:spacing w:beforeAutospacing="1" w:afterAutospacing="1"/>
            </w:pPr>
            <w:r>
              <w:rPr>
                <w:color w:val="000000"/>
                <w:sz w:val="22"/>
              </w:rPr>
              <w:t xml:space="preserve"> </w:t>
            </w:r>
          </w:p>
        </w:tc>
        <w:tc>
          <w:tcPr>
            <w:tcW w:w="0" w:type="auto"/>
            <w:vAlign w:val="center"/>
          </w:tcPr>
          <w:p w14:paraId="16C3825F" w14:textId="77777777" w:rsidR="003B314F" w:rsidRDefault="001764E9">
            <w:pPr>
              <w:spacing w:beforeAutospacing="1" w:afterAutospacing="1"/>
            </w:pPr>
            <w:r>
              <w:rPr>
                <w:color w:val="000000"/>
                <w:sz w:val="22"/>
              </w:rPr>
              <w:t xml:space="preserve"> </w:t>
            </w:r>
          </w:p>
        </w:tc>
      </w:tr>
      <w:tr w:rsidR="003B314F" w14:paraId="5F64FC86" w14:textId="77777777">
        <w:trPr>
          <w:cantSplit/>
        </w:trPr>
        <w:tc>
          <w:tcPr>
            <w:tcW w:w="0" w:type="auto"/>
            <w:vAlign w:val="center"/>
          </w:tcPr>
          <w:p w14:paraId="292FB23B" w14:textId="77777777" w:rsidR="003B314F" w:rsidRDefault="001764E9">
            <w:pPr>
              <w:spacing w:beforeAutospacing="1" w:afterAutospacing="1"/>
            </w:pPr>
            <w:r>
              <w:rPr>
                <w:color w:val="000000"/>
                <w:sz w:val="22"/>
              </w:rPr>
              <w:t>Support Economic Development Initiatives</w:t>
            </w:r>
          </w:p>
        </w:tc>
        <w:tc>
          <w:tcPr>
            <w:tcW w:w="0" w:type="auto"/>
            <w:vAlign w:val="center"/>
          </w:tcPr>
          <w:p w14:paraId="25D53762" w14:textId="77777777" w:rsidR="003B314F" w:rsidRDefault="001764E9">
            <w:pPr>
              <w:spacing w:beforeAutospacing="1" w:afterAutospacing="1"/>
            </w:pPr>
            <w:r>
              <w:rPr>
                <w:color w:val="000000"/>
                <w:sz w:val="22"/>
              </w:rPr>
              <w:t>Non-Housing Community Development</w:t>
            </w:r>
          </w:p>
        </w:tc>
        <w:tc>
          <w:tcPr>
            <w:tcW w:w="0" w:type="auto"/>
            <w:vAlign w:val="center"/>
          </w:tcPr>
          <w:p w14:paraId="7FBA7C0C" w14:textId="77777777" w:rsidR="003B314F" w:rsidRDefault="001764E9">
            <w:pPr>
              <w:spacing w:beforeAutospacing="1" w:afterAutospacing="1"/>
            </w:pPr>
            <w:r>
              <w:rPr>
                <w:color w:val="000000"/>
                <w:sz w:val="22"/>
              </w:rPr>
              <w:t>CDBG: $</w:t>
            </w:r>
          </w:p>
        </w:tc>
        <w:tc>
          <w:tcPr>
            <w:tcW w:w="0" w:type="auto"/>
            <w:vAlign w:val="center"/>
          </w:tcPr>
          <w:p w14:paraId="3035C335" w14:textId="77777777" w:rsidR="003B314F" w:rsidRDefault="001764E9">
            <w:pPr>
              <w:spacing w:beforeAutospacing="1" w:afterAutospacing="1"/>
            </w:pPr>
            <w:r>
              <w:rPr>
                <w:color w:val="000000"/>
                <w:sz w:val="22"/>
              </w:rPr>
              <w:t>Businesses assisted</w:t>
            </w:r>
          </w:p>
        </w:tc>
        <w:tc>
          <w:tcPr>
            <w:tcW w:w="0" w:type="auto"/>
            <w:vAlign w:val="center"/>
          </w:tcPr>
          <w:p w14:paraId="198EA2FF" w14:textId="77777777" w:rsidR="003B314F" w:rsidRDefault="001764E9">
            <w:pPr>
              <w:spacing w:beforeAutospacing="1" w:afterAutospacing="1"/>
            </w:pPr>
            <w:r>
              <w:rPr>
                <w:color w:val="000000"/>
                <w:sz w:val="22"/>
              </w:rPr>
              <w:t>Businesses Assisted</w:t>
            </w:r>
          </w:p>
        </w:tc>
        <w:tc>
          <w:tcPr>
            <w:tcW w:w="0" w:type="auto"/>
            <w:vAlign w:val="center"/>
          </w:tcPr>
          <w:p w14:paraId="100FC2D8" w14:textId="77777777" w:rsidR="003B314F" w:rsidRDefault="001764E9">
            <w:pPr>
              <w:spacing w:beforeAutospacing="1" w:afterAutospacing="1"/>
            </w:pPr>
            <w:r>
              <w:rPr>
                <w:color w:val="000000"/>
                <w:sz w:val="22"/>
              </w:rPr>
              <w:t>25</w:t>
            </w:r>
          </w:p>
        </w:tc>
        <w:tc>
          <w:tcPr>
            <w:tcW w:w="0" w:type="auto"/>
            <w:vAlign w:val="center"/>
          </w:tcPr>
          <w:p w14:paraId="47B28068" w14:textId="77777777" w:rsidR="003B314F" w:rsidRDefault="001764E9">
            <w:pPr>
              <w:spacing w:beforeAutospacing="1" w:afterAutospacing="1"/>
            </w:pPr>
            <w:r>
              <w:rPr>
                <w:color w:val="000000"/>
                <w:sz w:val="22"/>
              </w:rPr>
              <w:t>13</w:t>
            </w:r>
          </w:p>
        </w:tc>
        <w:tc>
          <w:tcPr>
            <w:tcW w:w="0" w:type="auto"/>
            <w:vAlign w:val="center"/>
          </w:tcPr>
          <w:p w14:paraId="25F4E881" w14:textId="77777777" w:rsidR="003B314F" w:rsidRDefault="001764E9">
            <w:pPr>
              <w:spacing w:beforeAutospacing="1" w:afterAutospacing="1"/>
            </w:pPr>
            <w:r>
              <w:rPr>
                <w:color w:val="000000"/>
                <w:sz w:val="22"/>
              </w:rPr>
              <w:t xml:space="preserve">        52.00%</w:t>
            </w:r>
          </w:p>
        </w:tc>
        <w:tc>
          <w:tcPr>
            <w:tcW w:w="0" w:type="auto"/>
            <w:vAlign w:val="center"/>
          </w:tcPr>
          <w:p w14:paraId="3F8864B8" w14:textId="77777777" w:rsidR="003B314F" w:rsidRDefault="001764E9">
            <w:pPr>
              <w:spacing w:beforeAutospacing="1" w:afterAutospacing="1"/>
            </w:pPr>
            <w:r>
              <w:rPr>
                <w:color w:val="000000"/>
                <w:sz w:val="22"/>
              </w:rPr>
              <w:t>5</w:t>
            </w:r>
          </w:p>
        </w:tc>
        <w:tc>
          <w:tcPr>
            <w:tcW w:w="0" w:type="auto"/>
            <w:vAlign w:val="center"/>
          </w:tcPr>
          <w:p w14:paraId="6E8CC819" w14:textId="77777777" w:rsidR="003B314F" w:rsidRDefault="001764E9">
            <w:pPr>
              <w:spacing w:beforeAutospacing="1" w:afterAutospacing="1"/>
            </w:pPr>
            <w:r>
              <w:rPr>
                <w:color w:val="000000"/>
                <w:sz w:val="22"/>
              </w:rPr>
              <w:t>1</w:t>
            </w:r>
          </w:p>
        </w:tc>
        <w:tc>
          <w:tcPr>
            <w:tcW w:w="0" w:type="auto"/>
            <w:vAlign w:val="center"/>
          </w:tcPr>
          <w:p w14:paraId="29E55E72" w14:textId="77777777" w:rsidR="003B314F" w:rsidRDefault="001764E9">
            <w:pPr>
              <w:spacing w:beforeAutospacing="1" w:afterAutospacing="1"/>
            </w:pPr>
            <w:r>
              <w:rPr>
                <w:color w:val="000000"/>
                <w:sz w:val="22"/>
              </w:rPr>
              <w:t xml:space="preserve">        20.00%</w:t>
            </w:r>
          </w:p>
        </w:tc>
      </w:tr>
      <w:tr w:rsidR="003B314F" w14:paraId="0479B207" w14:textId="77777777">
        <w:trPr>
          <w:cantSplit/>
        </w:trPr>
        <w:tc>
          <w:tcPr>
            <w:tcW w:w="0" w:type="auto"/>
            <w:vAlign w:val="center"/>
          </w:tcPr>
          <w:p w14:paraId="40389AF7" w14:textId="77777777" w:rsidR="003B314F" w:rsidRDefault="001764E9">
            <w:pPr>
              <w:spacing w:beforeAutospacing="1" w:afterAutospacing="1"/>
            </w:pPr>
            <w:r>
              <w:rPr>
                <w:color w:val="000000"/>
                <w:sz w:val="22"/>
              </w:rPr>
              <w:t>Support Economic Development Initiatives</w:t>
            </w:r>
          </w:p>
        </w:tc>
        <w:tc>
          <w:tcPr>
            <w:tcW w:w="0" w:type="auto"/>
            <w:vAlign w:val="center"/>
          </w:tcPr>
          <w:p w14:paraId="569DB9FD" w14:textId="77777777" w:rsidR="003B314F" w:rsidRDefault="001764E9">
            <w:pPr>
              <w:spacing w:beforeAutospacing="1" w:afterAutospacing="1"/>
            </w:pPr>
            <w:r>
              <w:rPr>
                <w:color w:val="000000"/>
                <w:sz w:val="22"/>
              </w:rPr>
              <w:t>Non-Housing Community Development</w:t>
            </w:r>
          </w:p>
        </w:tc>
        <w:tc>
          <w:tcPr>
            <w:tcW w:w="0" w:type="auto"/>
            <w:vAlign w:val="center"/>
          </w:tcPr>
          <w:p w14:paraId="7BF50AF4" w14:textId="77777777" w:rsidR="003B314F" w:rsidRDefault="001764E9">
            <w:pPr>
              <w:spacing w:beforeAutospacing="1" w:afterAutospacing="1"/>
            </w:pPr>
            <w:r>
              <w:rPr>
                <w:color w:val="000000"/>
                <w:sz w:val="22"/>
              </w:rPr>
              <w:t>CDBG: $</w:t>
            </w:r>
          </w:p>
        </w:tc>
        <w:tc>
          <w:tcPr>
            <w:tcW w:w="0" w:type="auto"/>
            <w:vAlign w:val="center"/>
          </w:tcPr>
          <w:p w14:paraId="02B23000" w14:textId="77777777" w:rsidR="003B314F" w:rsidRDefault="001764E9">
            <w:pPr>
              <w:spacing w:beforeAutospacing="1" w:afterAutospacing="1"/>
            </w:pPr>
            <w:r>
              <w:rPr>
                <w:color w:val="000000"/>
                <w:sz w:val="22"/>
              </w:rPr>
              <w:t>Other</w:t>
            </w:r>
          </w:p>
        </w:tc>
        <w:tc>
          <w:tcPr>
            <w:tcW w:w="0" w:type="auto"/>
            <w:vAlign w:val="center"/>
          </w:tcPr>
          <w:p w14:paraId="08E81F22" w14:textId="77777777" w:rsidR="003B314F" w:rsidRDefault="001764E9">
            <w:pPr>
              <w:spacing w:beforeAutospacing="1" w:afterAutospacing="1"/>
            </w:pPr>
            <w:r>
              <w:rPr>
                <w:color w:val="000000"/>
                <w:sz w:val="22"/>
              </w:rPr>
              <w:t>Other</w:t>
            </w:r>
          </w:p>
        </w:tc>
        <w:tc>
          <w:tcPr>
            <w:tcW w:w="0" w:type="auto"/>
            <w:vAlign w:val="center"/>
          </w:tcPr>
          <w:p w14:paraId="4BFF187F" w14:textId="77777777" w:rsidR="003B314F" w:rsidRDefault="001764E9">
            <w:pPr>
              <w:spacing w:beforeAutospacing="1" w:afterAutospacing="1"/>
            </w:pPr>
            <w:r>
              <w:rPr>
                <w:color w:val="000000"/>
                <w:sz w:val="22"/>
              </w:rPr>
              <w:t>111000</w:t>
            </w:r>
          </w:p>
        </w:tc>
        <w:tc>
          <w:tcPr>
            <w:tcW w:w="0" w:type="auto"/>
            <w:vAlign w:val="center"/>
          </w:tcPr>
          <w:p w14:paraId="145B9300" w14:textId="77777777" w:rsidR="003B314F" w:rsidRDefault="001764E9">
            <w:pPr>
              <w:spacing w:beforeAutospacing="1" w:afterAutospacing="1"/>
            </w:pPr>
            <w:r>
              <w:rPr>
                <w:color w:val="000000"/>
                <w:sz w:val="22"/>
              </w:rPr>
              <w:t>1</w:t>
            </w:r>
          </w:p>
        </w:tc>
        <w:tc>
          <w:tcPr>
            <w:tcW w:w="0" w:type="auto"/>
            <w:vAlign w:val="center"/>
          </w:tcPr>
          <w:p w14:paraId="18232D83" w14:textId="77777777" w:rsidR="003B314F" w:rsidRDefault="001764E9">
            <w:pPr>
              <w:spacing w:beforeAutospacing="1" w:afterAutospacing="1"/>
            </w:pPr>
            <w:r>
              <w:rPr>
                <w:color w:val="000000"/>
                <w:sz w:val="22"/>
              </w:rPr>
              <w:t xml:space="preserve">         0.00%</w:t>
            </w:r>
          </w:p>
        </w:tc>
        <w:tc>
          <w:tcPr>
            <w:tcW w:w="0" w:type="auto"/>
            <w:vAlign w:val="center"/>
          </w:tcPr>
          <w:p w14:paraId="1895AB25" w14:textId="77777777" w:rsidR="003B314F" w:rsidRDefault="001764E9">
            <w:pPr>
              <w:spacing w:beforeAutospacing="1" w:afterAutospacing="1"/>
            </w:pPr>
            <w:r>
              <w:rPr>
                <w:color w:val="000000"/>
                <w:sz w:val="22"/>
              </w:rPr>
              <w:t xml:space="preserve"> </w:t>
            </w:r>
          </w:p>
        </w:tc>
        <w:tc>
          <w:tcPr>
            <w:tcW w:w="0" w:type="auto"/>
            <w:vAlign w:val="center"/>
          </w:tcPr>
          <w:p w14:paraId="40D378E4" w14:textId="77777777" w:rsidR="003B314F" w:rsidRDefault="001764E9">
            <w:pPr>
              <w:spacing w:beforeAutospacing="1" w:afterAutospacing="1"/>
            </w:pPr>
            <w:r>
              <w:rPr>
                <w:color w:val="000000"/>
                <w:sz w:val="22"/>
              </w:rPr>
              <w:t xml:space="preserve"> </w:t>
            </w:r>
          </w:p>
        </w:tc>
        <w:tc>
          <w:tcPr>
            <w:tcW w:w="0" w:type="auto"/>
            <w:vAlign w:val="center"/>
          </w:tcPr>
          <w:p w14:paraId="0BD1A37D" w14:textId="77777777" w:rsidR="003B314F" w:rsidRDefault="001764E9">
            <w:pPr>
              <w:spacing w:beforeAutospacing="1" w:afterAutospacing="1"/>
            </w:pPr>
            <w:r>
              <w:rPr>
                <w:color w:val="000000"/>
                <w:sz w:val="22"/>
              </w:rPr>
              <w:t xml:space="preserve"> </w:t>
            </w:r>
          </w:p>
        </w:tc>
      </w:tr>
      <w:tr w:rsidR="003B314F" w14:paraId="3DE414A8" w14:textId="77777777">
        <w:trPr>
          <w:cantSplit/>
        </w:trPr>
        <w:tc>
          <w:tcPr>
            <w:tcW w:w="0" w:type="auto"/>
            <w:vAlign w:val="center"/>
          </w:tcPr>
          <w:p w14:paraId="4BAF722F" w14:textId="77777777" w:rsidR="003B314F" w:rsidRDefault="001764E9">
            <w:pPr>
              <w:spacing w:beforeAutospacing="1" w:afterAutospacing="1"/>
            </w:pPr>
            <w:r>
              <w:rPr>
                <w:color w:val="000000"/>
                <w:sz w:val="22"/>
              </w:rPr>
              <w:t>Support Public Facility Improvements</w:t>
            </w:r>
          </w:p>
        </w:tc>
        <w:tc>
          <w:tcPr>
            <w:tcW w:w="0" w:type="auto"/>
            <w:vAlign w:val="center"/>
          </w:tcPr>
          <w:p w14:paraId="24BC6565" w14:textId="77777777" w:rsidR="003B314F" w:rsidRDefault="001764E9">
            <w:pPr>
              <w:spacing w:beforeAutospacing="1" w:afterAutospacing="1"/>
            </w:pPr>
            <w:r>
              <w:rPr>
                <w:color w:val="000000"/>
                <w:sz w:val="22"/>
              </w:rPr>
              <w:t>Non-Housing Community Development</w:t>
            </w:r>
          </w:p>
        </w:tc>
        <w:tc>
          <w:tcPr>
            <w:tcW w:w="0" w:type="auto"/>
            <w:vAlign w:val="center"/>
          </w:tcPr>
          <w:p w14:paraId="6A8A91E1" w14:textId="77777777" w:rsidR="003B314F" w:rsidRDefault="001764E9">
            <w:pPr>
              <w:spacing w:beforeAutospacing="1" w:afterAutospacing="1"/>
            </w:pPr>
            <w:r>
              <w:rPr>
                <w:color w:val="000000"/>
                <w:sz w:val="22"/>
              </w:rPr>
              <w:t>CDBG: $</w:t>
            </w:r>
          </w:p>
        </w:tc>
        <w:tc>
          <w:tcPr>
            <w:tcW w:w="0" w:type="auto"/>
            <w:vAlign w:val="center"/>
          </w:tcPr>
          <w:p w14:paraId="610B5BCC" w14:textId="77777777" w:rsidR="003B314F" w:rsidRDefault="001764E9">
            <w:pPr>
              <w:spacing w:beforeAutospacing="1" w:afterAutospacing="1"/>
            </w:pPr>
            <w:r>
              <w:rPr>
                <w:color w:val="000000"/>
                <w:sz w:val="22"/>
              </w:rPr>
              <w:t>Public Facility or Infrastructure Activities other than Low/Moderate Income Housing Benefit</w:t>
            </w:r>
          </w:p>
        </w:tc>
        <w:tc>
          <w:tcPr>
            <w:tcW w:w="0" w:type="auto"/>
            <w:vAlign w:val="center"/>
          </w:tcPr>
          <w:p w14:paraId="0BCD9301" w14:textId="77777777" w:rsidR="003B314F" w:rsidRDefault="001764E9">
            <w:pPr>
              <w:spacing w:beforeAutospacing="1" w:afterAutospacing="1"/>
            </w:pPr>
            <w:r>
              <w:rPr>
                <w:color w:val="000000"/>
                <w:sz w:val="22"/>
              </w:rPr>
              <w:t>Persons Assisted</w:t>
            </w:r>
          </w:p>
        </w:tc>
        <w:tc>
          <w:tcPr>
            <w:tcW w:w="0" w:type="auto"/>
            <w:vAlign w:val="center"/>
          </w:tcPr>
          <w:p w14:paraId="688D446F" w14:textId="77777777" w:rsidR="003B314F" w:rsidRDefault="001764E9">
            <w:pPr>
              <w:spacing w:beforeAutospacing="1" w:afterAutospacing="1"/>
            </w:pPr>
            <w:r>
              <w:rPr>
                <w:color w:val="000000"/>
                <w:sz w:val="22"/>
              </w:rPr>
              <w:t>265000</w:t>
            </w:r>
          </w:p>
        </w:tc>
        <w:tc>
          <w:tcPr>
            <w:tcW w:w="0" w:type="auto"/>
            <w:vAlign w:val="center"/>
          </w:tcPr>
          <w:p w14:paraId="0E874393" w14:textId="77777777" w:rsidR="003B314F" w:rsidRDefault="001764E9">
            <w:pPr>
              <w:spacing w:beforeAutospacing="1" w:afterAutospacing="1"/>
            </w:pPr>
            <w:r>
              <w:rPr>
                <w:color w:val="000000"/>
                <w:sz w:val="22"/>
              </w:rPr>
              <w:t>574415</w:t>
            </w:r>
          </w:p>
        </w:tc>
        <w:tc>
          <w:tcPr>
            <w:tcW w:w="0" w:type="auto"/>
            <w:vAlign w:val="center"/>
          </w:tcPr>
          <w:p w14:paraId="76380B6E" w14:textId="77777777" w:rsidR="003B314F" w:rsidRDefault="001764E9">
            <w:pPr>
              <w:spacing w:beforeAutospacing="1" w:afterAutospacing="1"/>
            </w:pPr>
            <w:r>
              <w:rPr>
                <w:color w:val="000000"/>
                <w:sz w:val="22"/>
              </w:rPr>
              <w:t xml:space="preserve">       216.76%</w:t>
            </w:r>
          </w:p>
        </w:tc>
        <w:tc>
          <w:tcPr>
            <w:tcW w:w="0" w:type="auto"/>
            <w:vAlign w:val="center"/>
          </w:tcPr>
          <w:p w14:paraId="5F1B8188" w14:textId="77777777" w:rsidR="003B314F" w:rsidRDefault="001764E9">
            <w:pPr>
              <w:spacing w:beforeAutospacing="1" w:afterAutospacing="1"/>
            </w:pPr>
            <w:r>
              <w:rPr>
                <w:color w:val="000000"/>
                <w:sz w:val="22"/>
              </w:rPr>
              <w:t>400</w:t>
            </w:r>
          </w:p>
        </w:tc>
        <w:tc>
          <w:tcPr>
            <w:tcW w:w="0" w:type="auto"/>
            <w:vAlign w:val="center"/>
          </w:tcPr>
          <w:p w14:paraId="3D4520F0" w14:textId="77777777" w:rsidR="003B314F" w:rsidRDefault="001764E9">
            <w:pPr>
              <w:spacing w:beforeAutospacing="1" w:afterAutospacing="1"/>
            </w:pPr>
            <w:r>
              <w:rPr>
                <w:color w:val="000000"/>
                <w:sz w:val="22"/>
              </w:rPr>
              <w:t>0</w:t>
            </w:r>
          </w:p>
        </w:tc>
        <w:tc>
          <w:tcPr>
            <w:tcW w:w="0" w:type="auto"/>
            <w:vAlign w:val="center"/>
          </w:tcPr>
          <w:p w14:paraId="200D6B8F" w14:textId="77777777" w:rsidR="003B314F" w:rsidRDefault="001764E9">
            <w:pPr>
              <w:spacing w:beforeAutospacing="1" w:afterAutospacing="1"/>
            </w:pPr>
            <w:r>
              <w:rPr>
                <w:color w:val="000000"/>
                <w:sz w:val="22"/>
              </w:rPr>
              <w:t xml:space="preserve">         0.00%</w:t>
            </w:r>
          </w:p>
        </w:tc>
      </w:tr>
      <w:tr w:rsidR="003B314F" w14:paraId="693F8424" w14:textId="77777777">
        <w:trPr>
          <w:cantSplit/>
        </w:trPr>
        <w:tc>
          <w:tcPr>
            <w:tcW w:w="0" w:type="auto"/>
            <w:vAlign w:val="center"/>
          </w:tcPr>
          <w:p w14:paraId="71F94459" w14:textId="77777777" w:rsidR="003B314F" w:rsidRDefault="001764E9">
            <w:pPr>
              <w:spacing w:beforeAutospacing="1" w:afterAutospacing="1"/>
            </w:pPr>
            <w:r>
              <w:rPr>
                <w:color w:val="000000"/>
                <w:sz w:val="22"/>
              </w:rPr>
              <w:lastRenderedPageBreak/>
              <w:t>Support Rapid Rehousing</w:t>
            </w:r>
          </w:p>
        </w:tc>
        <w:tc>
          <w:tcPr>
            <w:tcW w:w="0" w:type="auto"/>
            <w:vAlign w:val="center"/>
          </w:tcPr>
          <w:p w14:paraId="02C009F0" w14:textId="77777777" w:rsidR="003B314F" w:rsidRDefault="001764E9">
            <w:pPr>
              <w:spacing w:beforeAutospacing="1" w:afterAutospacing="1"/>
            </w:pPr>
            <w:r>
              <w:rPr>
                <w:color w:val="000000"/>
                <w:sz w:val="22"/>
              </w:rPr>
              <w:t>Homeless</w:t>
            </w:r>
          </w:p>
        </w:tc>
        <w:tc>
          <w:tcPr>
            <w:tcW w:w="0" w:type="auto"/>
            <w:vAlign w:val="center"/>
          </w:tcPr>
          <w:p w14:paraId="1C49FC8E" w14:textId="77777777" w:rsidR="003B314F" w:rsidRDefault="001764E9">
            <w:pPr>
              <w:spacing w:beforeAutospacing="1" w:afterAutospacing="1"/>
            </w:pPr>
            <w:r>
              <w:rPr>
                <w:color w:val="000000"/>
                <w:sz w:val="22"/>
              </w:rPr>
              <w:t>HOME: $ / ESG: $100749</w:t>
            </w:r>
          </w:p>
        </w:tc>
        <w:tc>
          <w:tcPr>
            <w:tcW w:w="0" w:type="auto"/>
            <w:vAlign w:val="center"/>
          </w:tcPr>
          <w:p w14:paraId="5D6A8830" w14:textId="77777777" w:rsidR="003B314F" w:rsidRDefault="001764E9">
            <w:pPr>
              <w:spacing w:beforeAutospacing="1" w:afterAutospacing="1"/>
            </w:pPr>
            <w:r>
              <w:rPr>
                <w:color w:val="000000"/>
                <w:sz w:val="22"/>
              </w:rPr>
              <w:t>Tenant-based rental assistance / Rapid Rehousing</w:t>
            </w:r>
          </w:p>
        </w:tc>
        <w:tc>
          <w:tcPr>
            <w:tcW w:w="0" w:type="auto"/>
            <w:vAlign w:val="center"/>
          </w:tcPr>
          <w:p w14:paraId="5AF7778C" w14:textId="77777777" w:rsidR="003B314F" w:rsidRDefault="001764E9">
            <w:pPr>
              <w:spacing w:beforeAutospacing="1" w:afterAutospacing="1"/>
            </w:pPr>
            <w:r>
              <w:rPr>
                <w:color w:val="000000"/>
                <w:sz w:val="22"/>
              </w:rPr>
              <w:t>Households Assisted</w:t>
            </w:r>
          </w:p>
        </w:tc>
        <w:tc>
          <w:tcPr>
            <w:tcW w:w="0" w:type="auto"/>
            <w:vAlign w:val="center"/>
          </w:tcPr>
          <w:p w14:paraId="62B21517" w14:textId="77777777" w:rsidR="003B314F" w:rsidRDefault="001764E9">
            <w:pPr>
              <w:spacing w:beforeAutospacing="1" w:afterAutospacing="1"/>
            </w:pPr>
            <w:r>
              <w:rPr>
                <w:color w:val="000000"/>
                <w:sz w:val="22"/>
              </w:rPr>
              <w:t>500</w:t>
            </w:r>
          </w:p>
        </w:tc>
        <w:tc>
          <w:tcPr>
            <w:tcW w:w="0" w:type="auto"/>
            <w:vAlign w:val="center"/>
          </w:tcPr>
          <w:p w14:paraId="64E00E63" w14:textId="77777777" w:rsidR="003B314F" w:rsidRDefault="001764E9">
            <w:pPr>
              <w:spacing w:beforeAutospacing="1" w:afterAutospacing="1"/>
            </w:pPr>
            <w:r>
              <w:rPr>
                <w:color w:val="000000"/>
                <w:sz w:val="22"/>
              </w:rPr>
              <w:t>118</w:t>
            </w:r>
          </w:p>
        </w:tc>
        <w:tc>
          <w:tcPr>
            <w:tcW w:w="0" w:type="auto"/>
            <w:vAlign w:val="center"/>
          </w:tcPr>
          <w:p w14:paraId="0294CF8C" w14:textId="77777777" w:rsidR="003B314F" w:rsidRDefault="001764E9">
            <w:pPr>
              <w:spacing w:beforeAutospacing="1" w:afterAutospacing="1"/>
            </w:pPr>
            <w:r>
              <w:rPr>
                <w:color w:val="000000"/>
                <w:sz w:val="22"/>
              </w:rPr>
              <w:t xml:space="preserve">        23.60%</w:t>
            </w:r>
          </w:p>
        </w:tc>
        <w:tc>
          <w:tcPr>
            <w:tcW w:w="0" w:type="auto"/>
            <w:vAlign w:val="center"/>
          </w:tcPr>
          <w:p w14:paraId="21EAF0B3" w14:textId="77777777" w:rsidR="003B314F" w:rsidRDefault="001764E9">
            <w:pPr>
              <w:spacing w:beforeAutospacing="1" w:afterAutospacing="1"/>
            </w:pPr>
            <w:r>
              <w:rPr>
                <w:color w:val="000000"/>
                <w:sz w:val="22"/>
              </w:rPr>
              <w:t>40</w:t>
            </w:r>
          </w:p>
        </w:tc>
        <w:tc>
          <w:tcPr>
            <w:tcW w:w="0" w:type="auto"/>
            <w:vAlign w:val="center"/>
          </w:tcPr>
          <w:p w14:paraId="4D20B767" w14:textId="77777777" w:rsidR="003B314F" w:rsidRDefault="001764E9">
            <w:pPr>
              <w:spacing w:beforeAutospacing="1" w:afterAutospacing="1"/>
            </w:pPr>
            <w:r>
              <w:rPr>
                <w:color w:val="000000"/>
                <w:sz w:val="22"/>
              </w:rPr>
              <w:t>0</w:t>
            </w:r>
          </w:p>
        </w:tc>
        <w:tc>
          <w:tcPr>
            <w:tcW w:w="0" w:type="auto"/>
            <w:vAlign w:val="center"/>
          </w:tcPr>
          <w:p w14:paraId="7B28D9FC" w14:textId="77777777" w:rsidR="003B314F" w:rsidRDefault="001764E9">
            <w:pPr>
              <w:spacing w:beforeAutospacing="1" w:afterAutospacing="1"/>
            </w:pPr>
            <w:r>
              <w:rPr>
                <w:color w:val="000000"/>
                <w:sz w:val="22"/>
              </w:rPr>
              <w:t xml:space="preserve">         0.00%</w:t>
            </w:r>
          </w:p>
        </w:tc>
      </w:tr>
      <w:tr w:rsidR="003B314F" w14:paraId="6D55A442" w14:textId="77777777">
        <w:trPr>
          <w:cantSplit/>
        </w:trPr>
        <w:tc>
          <w:tcPr>
            <w:tcW w:w="0" w:type="auto"/>
            <w:vAlign w:val="center"/>
          </w:tcPr>
          <w:p w14:paraId="44BD52FD" w14:textId="77777777" w:rsidR="003B314F" w:rsidRDefault="001764E9">
            <w:pPr>
              <w:spacing w:beforeAutospacing="1" w:afterAutospacing="1"/>
            </w:pPr>
            <w:r>
              <w:rPr>
                <w:color w:val="000000"/>
                <w:sz w:val="22"/>
              </w:rPr>
              <w:t>Support Re-entry</w:t>
            </w:r>
          </w:p>
        </w:tc>
        <w:tc>
          <w:tcPr>
            <w:tcW w:w="0" w:type="auto"/>
            <w:vAlign w:val="center"/>
          </w:tcPr>
          <w:p w14:paraId="2E257BB1" w14:textId="77777777" w:rsidR="003B314F" w:rsidRDefault="001764E9">
            <w:pPr>
              <w:spacing w:beforeAutospacing="1" w:afterAutospacing="1"/>
            </w:pPr>
            <w:r>
              <w:rPr>
                <w:color w:val="000000"/>
                <w:sz w:val="22"/>
              </w:rPr>
              <w:t>Homeless</w:t>
            </w:r>
          </w:p>
        </w:tc>
        <w:tc>
          <w:tcPr>
            <w:tcW w:w="0" w:type="auto"/>
            <w:vAlign w:val="center"/>
          </w:tcPr>
          <w:p w14:paraId="6F070F96" w14:textId="77777777" w:rsidR="003B314F" w:rsidRDefault="001764E9">
            <w:pPr>
              <w:spacing w:beforeAutospacing="1" w:afterAutospacing="1"/>
            </w:pPr>
            <w:r>
              <w:rPr>
                <w:color w:val="000000"/>
                <w:sz w:val="22"/>
              </w:rPr>
              <w:t>ESG: $</w:t>
            </w:r>
          </w:p>
        </w:tc>
        <w:tc>
          <w:tcPr>
            <w:tcW w:w="0" w:type="auto"/>
            <w:vAlign w:val="center"/>
          </w:tcPr>
          <w:p w14:paraId="7CEDE8F8" w14:textId="77777777" w:rsidR="003B314F" w:rsidRDefault="001764E9">
            <w:pPr>
              <w:spacing w:beforeAutospacing="1" w:afterAutospacing="1"/>
            </w:pPr>
            <w:r>
              <w:rPr>
                <w:color w:val="000000"/>
                <w:sz w:val="22"/>
              </w:rPr>
              <w:t>Homeless Person Overnight Shelter</w:t>
            </w:r>
          </w:p>
        </w:tc>
        <w:tc>
          <w:tcPr>
            <w:tcW w:w="0" w:type="auto"/>
            <w:vAlign w:val="center"/>
          </w:tcPr>
          <w:p w14:paraId="4E0F7F7C" w14:textId="77777777" w:rsidR="003B314F" w:rsidRDefault="001764E9">
            <w:pPr>
              <w:spacing w:beforeAutospacing="1" w:afterAutospacing="1"/>
            </w:pPr>
            <w:r>
              <w:rPr>
                <w:color w:val="000000"/>
                <w:sz w:val="22"/>
              </w:rPr>
              <w:t>Persons Assisted</w:t>
            </w:r>
          </w:p>
        </w:tc>
        <w:tc>
          <w:tcPr>
            <w:tcW w:w="0" w:type="auto"/>
            <w:vAlign w:val="center"/>
          </w:tcPr>
          <w:p w14:paraId="439A8898" w14:textId="77777777" w:rsidR="003B314F" w:rsidRDefault="001764E9">
            <w:pPr>
              <w:spacing w:beforeAutospacing="1" w:afterAutospacing="1"/>
            </w:pPr>
            <w:r>
              <w:rPr>
                <w:color w:val="000000"/>
                <w:sz w:val="22"/>
              </w:rPr>
              <w:t>80</w:t>
            </w:r>
          </w:p>
        </w:tc>
        <w:tc>
          <w:tcPr>
            <w:tcW w:w="0" w:type="auto"/>
            <w:vAlign w:val="center"/>
          </w:tcPr>
          <w:p w14:paraId="1A77132D" w14:textId="77777777" w:rsidR="003B314F" w:rsidRDefault="001764E9">
            <w:pPr>
              <w:spacing w:beforeAutospacing="1" w:afterAutospacing="1"/>
            </w:pPr>
            <w:r>
              <w:rPr>
                <w:color w:val="000000"/>
                <w:sz w:val="22"/>
              </w:rPr>
              <w:t>0</w:t>
            </w:r>
          </w:p>
        </w:tc>
        <w:tc>
          <w:tcPr>
            <w:tcW w:w="0" w:type="auto"/>
            <w:vAlign w:val="center"/>
          </w:tcPr>
          <w:p w14:paraId="652764A9" w14:textId="77777777" w:rsidR="003B314F" w:rsidRDefault="001764E9">
            <w:pPr>
              <w:spacing w:beforeAutospacing="1" w:afterAutospacing="1"/>
            </w:pPr>
            <w:r>
              <w:rPr>
                <w:color w:val="000000"/>
                <w:sz w:val="22"/>
              </w:rPr>
              <w:t xml:space="preserve">         0.00%</w:t>
            </w:r>
          </w:p>
        </w:tc>
        <w:tc>
          <w:tcPr>
            <w:tcW w:w="0" w:type="auto"/>
            <w:vAlign w:val="center"/>
          </w:tcPr>
          <w:p w14:paraId="334D93E4" w14:textId="77777777" w:rsidR="003B314F" w:rsidRDefault="001764E9">
            <w:pPr>
              <w:spacing w:beforeAutospacing="1" w:afterAutospacing="1"/>
            </w:pPr>
            <w:r>
              <w:rPr>
                <w:color w:val="000000"/>
                <w:sz w:val="22"/>
              </w:rPr>
              <w:t xml:space="preserve"> </w:t>
            </w:r>
          </w:p>
        </w:tc>
        <w:tc>
          <w:tcPr>
            <w:tcW w:w="0" w:type="auto"/>
            <w:vAlign w:val="center"/>
          </w:tcPr>
          <w:p w14:paraId="422F6C44" w14:textId="77777777" w:rsidR="003B314F" w:rsidRDefault="001764E9">
            <w:pPr>
              <w:spacing w:beforeAutospacing="1" w:afterAutospacing="1"/>
            </w:pPr>
            <w:r>
              <w:rPr>
                <w:color w:val="000000"/>
                <w:sz w:val="22"/>
              </w:rPr>
              <w:t xml:space="preserve"> </w:t>
            </w:r>
          </w:p>
        </w:tc>
        <w:tc>
          <w:tcPr>
            <w:tcW w:w="0" w:type="auto"/>
            <w:vAlign w:val="center"/>
          </w:tcPr>
          <w:p w14:paraId="30594FC2" w14:textId="77777777" w:rsidR="003B314F" w:rsidRDefault="001764E9">
            <w:pPr>
              <w:spacing w:beforeAutospacing="1" w:afterAutospacing="1"/>
            </w:pPr>
            <w:r>
              <w:rPr>
                <w:color w:val="000000"/>
                <w:sz w:val="22"/>
              </w:rPr>
              <w:t xml:space="preserve"> </w:t>
            </w:r>
          </w:p>
        </w:tc>
      </w:tr>
      <w:tr w:rsidR="003B314F" w14:paraId="7E896EA8" w14:textId="77777777">
        <w:trPr>
          <w:cantSplit/>
        </w:trPr>
        <w:tc>
          <w:tcPr>
            <w:tcW w:w="0" w:type="auto"/>
            <w:vAlign w:val="center"/>
          </w:tcPr>
          <w:p w14:paraId="098B6F91" w14:textId="77777777" w:rsidR="003B314F" w:rsidRDefault="001764E9">
            <w:pPr>
              <w:spacing w:beforeAutospacing="1" w:afterAutospacing="1"/>
            </w:pPr>
            <w:r>
              <w:rPr>
                <w:color w:val="000000"/>
                <w:sz w:val="22"/>
              </w:rPr>
              <w:t>Support the Availability of Public Services</w:t>
            </w:r>
          </w:p>
        </w:tc>
        <w:tc>
          <w:tcPr>
            <w:tcW w:w="0" w:type="auto"/>
            <w:vAlign w:val="center"/>
          </w:tcPr>
          <w:p w14:paraId="4543BD41" w14:textId="77777777" w:rsidR="003B314F" w:rsidRDefault="001764E9">
            <w:pPr>
              <w:spacing w:beforeAutospacing="1" w:afterAutospacing="1"/>
            </w:pPr>
            <w:r>
              <w:rPr>
                <w:color w:val="000000"/>
                <w:sz w:val="22"/>
              </w:rPr>
              <w:t>Non-Housing Community Development</w:t>
            </w:r>
          </w:p>
        </w:tc>
        <w:tc>
          <w:tcPr>
            <w:tcW w:w="0" w:type="auto"/>
            <w:vAlign w:val="center"/>
          </w:tcPr>
          <w:p w14:paraId="52C04D90" w14:textId="77777777" w:rsidR="003B314F" w:rsidRDefault="001764E9">
            <w:pPr>
              <w:spacing w:beforeAutospacing="1" w:afterAutospacing="1"/>
            </w:pPr>
            <w:r>
              <w:rPr>
                <w:color w:val="000000"/>
                <w:sz w:val="22"/>
              </w:rPr>
              <w:t>CDBG: $</w:t>
            </w:r>
          </w:p>
        </w:tc>
        <w:tc>
          <w:tcPr>
            <w:tcW w:w="0" w:type="auto"/>
            <w:vAlign w:val="center"/>
          </w:tcPr>
          <w:p w14:paraId="366C7D2E" w14:textId="77777777" w:rsidR="003B314F" w:rsidRDefault="001764E9">
            <w:pPr>
              <w:spacing w:beforeAutospacing="1" w:afterAutospacing="1"/>
            </w:pPr>
            <w:r>
              <w:rPr>
                <w:color w:val="000000"/>
                <w:sz w:val="22"/>
              </w:rPr>
              <w:t>Public service activities other than Low/Moderate Income Housing Benefit</w:t>
            </w:r>
          </w:p>
        </w:tc>
        <w:tc>
          <w:tcPr>
            <w:tcW w:w="0" w:type="auto"/>
            <w:vAlign w:val="center"/>
          </w:tcPr>
          <w:p w14:paraId="7B0B2ED1" w14:textId="77777777" w:rsidR="003B314F" w:rsidRDefault="001764E9">
            <w:pPr>
              <w:spacing w:beforeAutospacing="1" w:afterAutospacing="1"/>
            </w:pPr>
            <w:r>
              <w:rPr>
                <w:color w:val="000000"/>
                <w:sz w:val="22"/>
              </w:rPr>
              <w:t>Persons Assisted</w:t>
            </w:r>
          </w:p>
        </w:tc>
        <w:tc>
          <w:tcPr>
            <w:tcW w:w="0" w:type="auto"/>
            <w:vAlign w:val="center"/>
          </w:tcPr>
          <w:p w14:paraId="770FF159" w14:textId="77777777" w:rsidR="003B314F" w:rsidRDefault="001764E9">
            <w:pPr>
              <w:spacing w:beforeAutospacing="1" w:afterAutospacing="1"/>
            </w:pPr>
            <w:r>
              <w:rPr>
                <w:color w:val="000000"/>
                <w:sz w:val="22"/>
              </w:rPr>
              <w:t>431000</w:t>
            </w:r>
          </w:p>
        </w:tc>
        <w:tc>
          <w:tcPr>
            <w:tcW w:w="0" w:type="auto"/>
            <w:vAlign w:val="center"/>
          </w:tcPr>
          <w:p w14:paraId="39AAD30D" w14:textId="77777777" w:rsidR="003B314F" w:rsidRDefault="001764E9">
            <w:pPr>
              <w:spacing w:beforeAutospacing="1" w:afterAutospacing="1"/>
            </w:pPr>
            <w:r>
              <w:rPr>
                <w:color w:val="000000"/>
                <w:sz w:val="22"/>
              </w:rPr>
              <w:t>228385</w:t>
            </w:r>
          </w:p>
        </w:tc>
        <w:tc>
          <w:tcPr>
            <w:tcW w:w="0" w:type="auto"/>
            <w:vAlign w:val="center"/>
          </w:tcPr>
          <w:p w14:paraId="696F6CF7" w14:textId="77777777" w:rsidR="003B314F" w:rsidRDefault="001764E9">
            <w:pPr>
              <w:spacing w:beforeAutospacing="1" w:afterAutospacing="1"/>
            </w:pPr>
            <w:r>
              <w:rPr>
                <w:color w:val="000000"/>
                <w:sz w:val="22"/>
              </w:rPr>
              <w:t xml:space="preserve">        52.99%</w:t>
            </w:r>
          </w:p>
        </w:tc>
        <w:tc>
          <w:tcPr>
            <w:tcW w:w="0" w:type="auto"/>
            <w:vAlign w:val="center"/>
          </w:tcPr>
          <w:p w14:paraId="72B4385D" w14:textId="77777777" w:rsidR="003B314F" w:rsidRDefault="001764E9">
            <w:pPr>
              <w:spacing w:beforeAutospacing="1" w:afterAutospacing="1"/>
            </w:pPr>
            <w:r>
              <w:rPr>
                <w:color w:val="000000"/>
                <w:sz w:val="22"/>
              </w:rPr>
              <w:t>12216</w:t>
            </w:r>
          </w:p>
        </w:tc>
        <w:tc>
          <w:tcPr>
            <w:tcW w:w="0" w:type="auto"/>
            <w:vAlign w:val="center"/>
          </w:tcPr>
          <w:p w14:paraId="06E33290" w14:textId="77777777" w:rsidR="003B314F" w:rsidRDefault="001764E9">
            <w:pPr>
              <w:spacing w:beforeAutospacing="1" w:afterAutospacing="1"/>
            </w:pPr>
            <w:r>
              <w:rPr>
                <w:color w:val="000000"/>
                <w:sz w:val="22"/>
              </w:rPr>
              <w:t>21075</w:t>
            </w:r>
          </w:p>
        </w:tc>
        <w:tc>
          <w:tcPr>
            <w:tcW w:w="0" w:type="auto"/>
            <w:vAlign w:val="center"/>
          </w:tcPr>
          <w:p w14:paraId="55176BA5" w14:textId="77777777" w:rsidR="003B314F" w:rsidRDefault="001764E9">
            <w:pPr>
              <w:spacing w:beforeAutospacing="1" w:afterAutospacing="1"/>
            </w:pPr>
            <w:r>
              <w:rPr>
                <w:color w:val="000000"/>
                <w:sz w:val="22"/>
              </w:rPr>
              <w:t xml:space="preserve">       172.52%</w:t>
            </w:r>
          </w:p>
        </w:tc>
      </w:tr>
      <w:tr w:rsidR="003B314F" w14:paraId="4FB0155B" w14:textId="77777777">
        <w:trPr>
          <w:cantSplit/>
        </w:trPr>
        <w:tc>
          <w:tcPr>
            <w:tcW w:w="0" w:type="auto"/>
            <w:vAlign w:val="center"/>
          </w:tcPr>
          <w:p w14:paraId="79671B70" w14:textId="77777777" w:rsidR="003B314F" w:rsidRDefault="001764E9">
            <w:pPr>
              <w:spacing w:beforeAutospacing="1" w:afterAutospacing="1"/>
            </w:pPr>
            <w:r>
              <w:rPr>
                <w:color w:val="000000"/>
                <w:sz w:val="22"/>
              </w:rPr>
              <w:t>Support the Availability of Public Services</w:t>
            </w:r>
          </w:p>
        </w:tc>
        <w:tc>
          <w:tcPr>
            <w:tcW w:w="0" w:type="auto"/>
            <w:vAlign w:val="center"/>
          </w:tcPr>
          <w:p w14:paraId="039493FF" w14:textId="77777777" w:rsidR="003B314F" w:rsidRDefault="001764E9">
            <w:pPr>
              <w:spacing w:beforeAutospacing="1" w:afterAutospacing="1"/>
            </w:pPr>
            <w:r>
              <w:rPr>
                <w:color w:val="000000"/>
                <w:sz w:val="22"/>
              </w:rPr>
              <w:t>Non-Housing Community Development</w:t>
            </w:r>
          </w:p>
        </w:tc>
        <w:tc>
          <w:tcPr>
            <w:tcW w:w="0" w:type="auto"/>
            <w:vAlign w:val="center"/>
          </w:tcPr>
          <w:p w14:paraId="75FE5E4C" w14:textId="77777777" w:rsidR="003B314F" w:rsidRDefault="001764E9">
            <w:pPr>
              <w:spacing w:beforeAutospacing="1" w:afterAutospacing="1"/>
            </w:pPr>
            <w:r>
              <w:rPr>
                <w:color w:val="000000"/>
                <w:sz w:val="22"/>
              </w:rPr>
              <w:t>CDBG: $</w:t>
            </w:r>
          </w:p>
        </w:tc>
        <w:tc>
          <w:tcPr>
            <w:tcW w:w="0" w:type="auto"/>
            <w:vAlign w:val="center"/>
          </w:tcPr>
          <w:p w14:paraId="3A748072" w14:textId="77777777" w:rsidR="003B314F" w:rsidRDefault="001764E9">
            <w:pPr>
              <w:spacing w:beforeAutospacing="1" w:afterAutospacing="1"/>
            </w:pPr>
            <w:r>
              <w:rPr>
                <w:color w:val="000000"/>
                <w:sz w:val="22"/>
              </w:rPr>
              <w:t>Homeless Person Overnight Shelter</w:t>
            </w:r>
          </w:p>
        </w:tc>
        <w:tc>
          <w:tcPr>
            <w:tcW w:w="0" w:type="auto"/>
            <w:vAlign w:val="center"/>
          </w:tcPr>
          <w:p w14:paraId="2270728D" w14:textId="77777777" w:rsidR="003B314F" w:rsidRDefault="001764E9">
            <w:pPr>
              <w:spacing w:beforeAutospacing="1" w:afterAutospacing="1"/>
            </w:pPr>
            <w:r>
              <w:rPr>
                <w:color w:val="000000"/>
                <w:sz w:val="22"/>
              </w:rPr>
              <w:t>Persons Assisted</w:t>
            </w:r>
          </w:p>
        </w:tc>
        <w:tc>
          <w:tcPr>
            <w:tcW w:w="0" w:type="auto"/>
            <w:vAlign w:val="center"/>
          </w:tcPr>
          <w:p w14:paraId="4EE75C98" w14:textId="77777777" w:rsidR="003B314F" w:rsidRDefault="001764E9">
            <w:pPr>
              <w:spacing w:beforeAutospacing="1" w:afterAutospacing="1"/>
            </w:pPr>
            <w:r>
              <w:rPr>
                <w:color w:val="000000"/>
                <w:sz w:val="22"/>
              </w:rPr>
              <w:t>0</w:t>
            </w:r>
          </w:p>
        </w:tc>
        <w:tc>
          <w:tcPr>
            <w:tcW w:w="0" w:type="auto"/>
            <w:vAlign w:val="center"/>
          </w:tcPr>
          <w:p w14:paraId="1CD8171A" w14:textId="77777777" w:rsidR="003B314F" w:rsidRDefault="001764E9">
            <w:pPr>
              <w:spacing w:beforeAutospacing="1" w:afterAutospacing="1"/>
            </w:pPr>
            <w:r>
              <w:rPr>
                <w:color w:val="000000"/>
                <w:sz w:val="22"/>
              </w:rPr>
              <w:t>0</w:t>
            </w:r>
          </w:p>
        </w:tc>
        <w:tc>
          <w:tcPr>
            <w:tcW w:w="0" w:type="auto"/>
            <w:vAlign w:val="center"/>
          </w:tcPr>
          <w:p w14:paraId="28FAF8CB" w14:textId="77777777" w:rsidR="003B314F" w:rsidRDefault="001764E9">
            <w:pPr>
              <w:spacing w:beforeAutospacing="1" w:afterAutospacing="1"/>
            </w:pPr>
            <w:r>
              <w:rPr>
                <w:color w:val="000000"/>
                <w:sz w:val="22"/>
              </w:rPr>
              <w:t xml:space="preserve"> </w:t>
            </w:r>
          </w:p>
        </w:tc>
        <w:tc>
          <w:tcPr>
            <w:tcW w:w="0" w:type="auto"/>
            <w:vAlign w:val="center"/>
          </w:tcPr>
          <w:p w14:paraId="3F274E00" w14:textId="77777777" w:rsidR="003B314F" w:rsidRDefault="001764E9">
            <w:pPr>
              <w:spacing w:beforeAutospacing="1" w:afterAutospacing="1"/>
            </w:pPr>
            <w:r>
              <w:rPr>
                <w:color w:val="000000"/>
                <w:sz w:val="22"/>
              </w:rPr>
              <w:t>0</w:t>
            </w:r>
          </w:p>
        </w:tc>
        <w:tc>
          <w:tcPr>
            <w:tcW w:w="0" w:type="auto"/>
            <w:vAlign w:val="center"/>
          </w:tcPr>
          <w:p w14:paraId="61E83010" w14:textId="77777777" w:rsidR="003B314F" w:rsidRDefault="001764E9">
            <w:pPr>
              <w:spacing w:beforeAutospacing="1" w:afterAutospacing="1"/>
            </w:pPr>
            <w:r>
              <w:rPr>
                <w:color w:val="000000"/>
                <w:sz w:val="22"/>
              </w:rPr>
              <w:t>0</w:t>
            </w:r>
          </w:p>
        </w:tc>
        <w:tc>
          <w:tcPr>
            <w:tcW w:w="0" w:type="auto"/>
            <w:vAlign w:val="center"/>
          </w:tcPr>
          <w:p w14:paraId="2388BC64" w14:textId="77777777" w:rsidR="003B314F" w:rsidRDefault="001764E9">
            <w:pPr>
              <w:spacing w:beforeAutospacing="1" w:afterAutospacing="1"/>
            </w:pPr>
            <w:r>
              <w:rPr>
                <w:color w:val="000000"/>
                <w:sz w:val="22"/>
              </w:rPr>
              <w:t xml:space="preserve"> </w:t>
            </w:r>
          </w:p>
        </w:tc>
      </w:tr>
      <w:tr w:rsidR="003B314F" w14:paraId="7FB86F3B" w14:textId="77777777">
        <w:trPr>
          <w:cantSplit/>
        </w:trPr>
        <w:tc>
          <w:tcPr>
            <w:tcW w:w="0" w:type="auto"/>
            <w:vAlign w:val="center"/>
          </w:tcPr>
          <w:p w14:paraId="31301369" w14:textId="77777777" w:rsidR="003B314F" w:rsidRDefault="001764E9">
            <w:pPr>
              <w:spacing w:beforeAutospacing="1" w:afterAutospacing="1"/>
            </w:pPr>
            <w:r>
              <w:rPr>
                <w:color w:val="000000"/>
                <w:sz w:val="22"/>
              </w:rPr>
              <w:t>Support the Availability of Public Services</w:t>
            </w:r>
          </w:p>
        </w:tc>
        <w:tc>
          <w:tcPr>
            <w:tcW w:w="0" w:type="auto"/>
            <w:vAlign w:val="center"/>
          </w:tcPr>
          <w:p w14:paraId="1C656456" w14:textId="77777777" w:rsidR="003B314F" w:rsidRDefault="001764E9">
            <w:pPr>
              <w:spacing w:beforeAutospacing="1" w:afterAutospacing="1"/>
            </w:pPr>
            <w:r>
              <w:rPr>
                <w:color w:val="000000"/>
                <w:sz w:val="22"/>
              </w:rPr>
              <w:t>Non-Housing Community Development</w:t>
            </w:r>
          </w:p>
        </w:tc>
        <w:tc>
          <w:tcPr>
            <w:tcW w:w="0" w:type="auto"/>
            <w:vAlign w:val="center"/>
          </w:tcPr>
          <w:p w14:paraId="78C6EBC4" w14:textId="77777777" w:rsidR="003B314F" w:rsidRDefault="001764E9">
            <w:pPr>
              <w:spacing w:beforeAutospacing="1" w:afterAutospacing="1"/>
            </w:pPr>
            <w:r>
              <w:rPr>
                <w:color w:val="000000"/>
                <w:sz w:val="22"/>
              </w:rPr>
              <w:t>CDBG: $</w:t>
            </w:r>
          </w:p>
        </w:tc>
        <w:tc>
          <w:tcPr>
            <w:tcW w:w="0" w:type="auto"/>
            <w:vAlign w:val="center"/>
          </w:tcPr>
          <w:p w14:paraId="024FA4B6" w14:textId="77777777" w:rsidR="003B314F" w:rsidRDefault="001764E9">
            <w:pPr>
              <w:spacing w:beforeAutospacing="1" w:afterAutospacing="1"/>
            </w:pPr>
            <w:r>
              <w:rPr>
                <w:color w:val="000000"/>
                <w:sz w:val="22"/>
              </w:rPr>
              <w:t>Overnight/Emergency Shelter/Transitional Housing Beds added</w:t>
            </w:r>
          </w:p>
        </w:tc>
        <w:tc>
          <w:tcPr>
            <w:tcW w:w="0" w:type="auto"/>
            <w:vAlign w:val="center"/>
          </w:tcPr>
          <w:p w14:paraId="446E79D0" w14:textId="77777777" w:rsidR="003B314F" w:rsidRDefault="001764E9">
            <w:pPr>
              <w:spacing w:beforeAutospacing="1" w:afterAutospacing="1"/>
            </w:pPr>
            <w:r>
              <w:rPr>
                <w:color w:val="000000"/>
                <w:sz w:val="22"/>
              </w:rPr>
              <w:t>Beds</w:t>
            </w:r>
          </w:p>
        </w:tc>
        <w:tc>
          <w:tcPr>
            <w:tcW w:w="0" w:type="auto"/>
            <w:vAlign w:val="center"/>
          </w:tcPr>
          <w:p w14:paraId="5D43F409" w14:textId="77777777" w:rsidR="003B314F" w:rsidRDefault="001764E9">
            <w:pPr>
              <w:spacing w:beforeAutospacing="1" w:afterAutospacing="1"/>
            </w:pPr>
            <w:r>
              <w:rPr>
                <w:color w:val="000000"/>
                <w:sz w:val="22"/>
              </w:rPr>
              <w:t>0</w:t>
            </w:r>
          </w:p>
        </w:tc>
        <w:tc>
          <w:tcPr>
            <w:tcW w:w="0" w:type="auto"/>
            <w:vAlign w:val="center"/>
          </w:tcPr>
          <w:p w14:paraId="12F5D517" w14:textId="77777777" w:rsidR="003B314F" w:rsidRDefault="001764E9">
            <w:pPr>
              <w:spacing w:beforeAutospacing="1" w:afterAutospacing="1"/>
            </w:pPr>
            <w:r>
              <w:rPr>
                <w:color w:val="000000"/>
                <w:sz w:val="22"/>
              </w:rPr>
              <w:t>0</w:t>
            </w:r>
          </w:p>
        </w:tc>
        <w:tc>
          <w:tcPr>
            <w:tcW w:w="0" w:type="auto"/>
            <w:vAlign w:val="center"/>
          </w:tcPr>
          <w:p w14:paraId="7BFC8255" w14:textId="77777777" w:rsidR="003B314F" w:rsidRDefault="001764E9">
            <w:pPr>
              <w:spacing w:beforeAutospacing="1" w:afterAutospacing="1"/>
            </w:pPr>
            <w:r>
              <w:rPr>
                <w:color w:val="000000"/>
                <w:sz w:val="22"/>
              </w:rPr>
              <w:t xml:space="preserve"> </w:t>
            </w:r>
          </w:p>
        </w:tc>
        <w:tc>
          <w:tcPr>
            <w:tcW w:w="0" w:type="auto"/>
            <w:vAlign w:val="center"/>
          </w:tcPr>
          <w:p w14:paraId="2120F2D0" w14:textId="77777777" w:rsidR="003B314F" w:rsidRDefault="001764E9">
            <w:pPr>
              <w:spacing w:beforeAutospacing="1" w:afterAutospacing="1"/>
            </w:pPr>
            <w:r>
              <w:rPr>
                <w:color w:val="000000"/>
                <w:sz w:val="22"/>
              </w:rPr>
              <w:t>0</w:t>
            </w:r>
          </w:p>
        </w:tc>
        <w:tc>
          <w:tcPr>
            <w:tcW w:w="0" w:type="auto"/>
            <w:vAlign w:val="center"/>
          </w:tcPr>
          <w:p w14:paraId="080FD9D3" w14:textId="77777777" w:rsidR="003B314F" w:rsidRDefault="001764E9">
            <w:pPr>
              <w:spacing w:beforeAutospacing="1" w:afterAutospacing="1"/>
            </w:pPr>
            <w:r>
              <w:rPr>
                <w:color w:val="000000"/>
                <w:sz w:val="22"/>
              </w:rPr>
              <w:t>0</w:t>
            </w:r>
          </w:p>
        </w:tc>
        <w:tc>
          <w:tcPr>
            <w:tcW w:w="0" w:type="auto"/>
            <w:vAlign w:val="center"/>
          </w:tcPr>
          <w:p w14:paraId="63243955" w14:textId="77777777" w:rsidR="003B314F" w:rsidRDefault="001764E9">
            <w:pPr>
              <w:spacing w:beforeAutospacing="1" w:afterAutospacing="1"/>
            </w:pPr>
            <w:r>
              <w:rPr>
                <w:color w:val="000000"/>
                <w:sz w:val="22"/>
              </w:rPr>
              <w:t xml:space="preserve"> </w:t>
            </w:r>
          </w:p>
        </w:tc>
      </w:tr>
      <w:tr w:rsidR="003B314F" w14:paraId="75E5A086" w14:textId="77777777">
        <w:trPr>
          <w:cantSplit/>
        </w:trPr>
        <w:tc>
          <w:tcPr>
            <w:tcW w:w="0" w:type="auto"/>
            <w:vAlign w:val="center"/>
          </w:tcPr>
          <w:p w14:paraId="61902637" w14:textId="77777777" w:rsidR="003B314F" w:rsidRDefault="001764E9">
            <w:pPr>
              <w:spacing w:beforeAutospacing="1" w:afterAutospacing="1"/>
            </w:pPr>
            <w:r>
              <w:rPr>
                <w:color w:val="000000"/>
                <w:sz w:val="22"/>
              </w:rPr>
              <w:t>Support the Reduction of Residential Blight</w:t>
            </w:r>
          </w:p>
        </w:tc>
        <w:tc>
          <w:tcPr>
            <w:tcW w:w="0" w:type="auto"/>
            <w:vAlign w:val="center"/>
          </w:tcPr>
          <w:p w14:paraId="7216E884" w14:textId="77777777" w:rsidR="003B314F" w:rsidRDefault="001764E9">
            <w:pPr>
              <w:spacing w:beforeAutospacing="1" w:afterAutospacing="1"/>
            </w:pPr>
            <w:r>
              <w:rPr>
                <w:color w:val="000000"/>
                <w:sz w:val="22"/>
              </w:rPr>
              <w:t>Affordable Housing</w:t>
            </w:r>
            <w:r>
              <w:rPr>
                <w:color w:val="000000"/>
                <w:sz w:val="22"/>
              </w:rPr>
              <w:br/>
              <w:t>Acquisition, Disposition, and Demolition</w:t>
            </w:r>
          </w:p>
        </w:tc>
        <w:tc>
          <w:tcPr>
            <w:tcW w:w="0" w:type="auto"/>
            <w:vAlign w:val="center"/>
          </w:tcPr>
          <w:p w14:paraId="73E2F64D" w14:textId="77777777" w:rsidR="003B314F" w:rsidRDefault="001764E9">
            <w:pPr>
              <w:spacing w:beforeAutospacing="1" w:afterAutospacing="1"/>
            </w:pPr>
            <w:r>
              <w:rPr>
                <w:color w:val="000000"/>
                <w:sz w:val="22"/>
              </w:rPr>
              <w:t>CDBG: $</w:t>
            </w:r>
          </w:p>
        </w:tc>
        <w:tc>
          <w:tcPr>
            <w:tcW w:w="0" w:type="auto"/>
            <w:vAlign w:val="center"/>
          </w:tcPr>
          <w:p w14:paraId="650FECF8" w14:textId="77777777" w:rsidR="003B314F" w:rsidRDefault="001764E9">
            <w:pPr>
              <w:spacing w:beforeAutospacing="1" w:afterAutospacing="1"/>
            </w:pPr>
            <w:r>
              <w:rPr>
                <w:color w:val="000000"/>
                <w:sz w:val="22"/>
              </w:rPr>
              <w:t>Buildings Demolished</w:t>
            </w:r>
          </w:p>
        </w:tc>
        <w:tc>
          <w:tcPr>
            <w:tcW w:w="0" w:type="auto"/>
            <w:vAlign w:val="center"/>
          </w:tcPr>
          <w:p w14:paraId="2F02CFD2" w14:textId="77777777" w:rsidR="003B314F" w:rsidRDefault="001764E9">
            <w:pPr>
              <w:spacing w:beforeAutospacing="1" w:afterAutospacing="1"/>
            </w:pPr>
            <w:r>
              <w:rPr>
                <w:color w:val="000000"/>
                <w:sz w:val="22"/>
              </w:rPr>
              <w:t>Buildings</w:t>
            </w:r>
          </w:p>
        </w:tc>
        <w:tc>
          <w:tcPr>
            <w:tcW w:w="0" w:type="auto"/>
            <w:vAlign w:val="center"/>
          </w:tcPr>
          <w:p w14:paraId="19EB6A15" w14:textId="77777777" w:rsidR="003B314F" w:rsidRDefault="001764E9">
            <w:pPr>
              <w:spacing w:beforeAutospacing="1" w:afterAutospacing="1"/>
            </w:pPr>
            <w:r>
              <w:rPr>
                <w:color w:val="000000"/>
                <w:sz w:val="22"/>
              </w:rPr>
              <w:t>1000</w:t>
            </w:r>
          </w:p>
        </w:tc>
        <w:tc>
          <w:tcPr>
            <w:tcW w:w="0" w:type="auto"/>
            <w:vAlign w:val="center"/>
          </w:tcPr>
          <w:p w14:paraId="77516358" w14:textId="77777777" w:rsidR="003B314F" w:rsidRDefault="001764E9">
            <w:pPr>
              <w:spacing w:beforeAutospacing="1" w:afterAutospacing="1"/>
            </w:pPr>
            <w:r>
              <w:rPr>
                <w:color w:val="000000"/>
                <w:sz w:val="22"/>
              </w:rPr>
              <w:t>0</w:t>
            </w:r>
          </w:p>
        </w:tc>
        <w:tc>
          <w:tcPr>
            <w:tcW w:w="0" w:type="auto"/>
            <w:vAlign w:val="center"/>
          </w:tcPr>
          <w:p w14:paraId="085D1E42" w14:textId="77777777" w:rsidR="003B314F" w:rsidRDefault="001764E9">
            <w:pPr>
              <w:spacing w:beforeAutospacing="1" w:afterAutospacing="1"/>
            </w:pPr>
            <w:r>
              <w:rPr>
                <w:color w:val="000000"/>
                <w:sz w:val="22"/>
              </w:rPr>
              <w:t xml:space="preserve">         0.00%</w:t>
            </w:r>
          </w:p>
        </w:tc>
        <w:tc>
          <w:tcPr>
            <w:tcW w:w="0" w:type="auto"/>
            <w:vAlign w:val="center"/>
          </w:tcPr>
          <w:p w14:paraId="775E840B" w14:textId="77777777" w:rsidR="003B314F" w:rsidRDefault="001764E9">
            <w:pPr>
              <w:spacing w:beforeAutospacing="1" w:afterAutospacing="1"/>
            </w:pPr>
            <w:r>
              <w:rPr>
                <w:color w:val="000000"/>
                <w:sz w:val="22"/>
              </w:rPr>
              <w:t xml:space="preserve"> </w:t>
            </w:r>
          </w:p>
        </w:tc>
        <w:tc>
          <w:tcPr>
            <w:tcW w:w="0" w:type="auto"/>
            <w:vAlign w:val="center"/>
          </w:tcPr>
          <w:p w14:paraId="7FFC916E" w14:textId="77777777" w:rsidR="003B314F" w:rsidRDefault="001764E9">
            <w:pPr>
              <w:spacing w:beforeAutospacing="1" w:afterAutospacing="1"/>
            </w:pPr>
            <w:r>
              <w:rPr>
                <w:color w:val="000000"/>
                <w:sz w:val="22"/>
              </w:rPr>
              <w:t xml:space="preserve"> </w:t>
            </w:r>
          </w:p>
        </w:tc>
        <w:tc>
          <w:tcPr>
            <w:tcW w:w="0" w:type="auto"/>
            <w:vAlign w:val="center"/>
          </w:tcPr>
          <w:p w14:paraId="1764177C" w14:textId="77777777" w:rsidR="003B314F" w:rsidRDefault="001764E9">
            <w:pPr>
              <w:spacing w:beforeAutospacing="1" w:afterAutospacing="1"/>
            </w:pPr>
            <w:r>
              <w:rPr>
                <w:color w:val="000000"/>
                <w:sz w:val="22"/>
              </w:rPr>
              <w:t xml:space="preserve"> </w:t>
            </w:r>
          </w:p>
        </w:tc>
      </w:tr>
      <w:tr w:rsidR="003B314F" w14:paraId="6AE80D7F" w14:textId="77777777">
        <w:trPr>
          <w:cantSplit/>
        </w:trPr>
        <w:tc>
          <w:tcPr>
            <w:tcW w:w="0" w:type="auto"/>
            <w:vAlign w:val="center"/>
          </w:tcPr>
          <w:p w14:paraId="054C2287" w14:textId="77777777" w:rsidR="003B314F" w:rsidRDefault="001764E9">
            <w:pPr>
              <w:spacing w:beforeAutospacing="1" w:afterAutospacing="1"/>
            </w:pPr>
            <w:r>
              <w:rPr>
                <w:color w:val="000000"/>
                <w:sz w:val="22"/>
              </w:rPr>
              <w:t>Support the Reduction of Residential Blight</w:t>
            </w:r>
          </w:p>
        </w:tc>
        <w:tc>
          <w:tcPr>
            <w:tcW w:w="0" w:type="auto"/>
            <w:vAlign w:val="center"/>
          </w:tcPr>
          <w:p w14:paraId="54D5539B" w14:textId="77777777" w:rsidR="003B314F" w:rsidRDefault="001764E9">
            <w:pPr>
              <w:spacing w:beforeAutospacing="1" w:afterAutospacing="1"/>
            </w:pPr>
            <w:r>
              <w:rPr>
                <w:color w:val="000000"/>
                <w:sz w:val="22"/>
              </w:rPr>
              <w:t>Affordable Housing</w:t>
            </w:r>
            <w:r>
              <w:rPr>
                <w:color w:val="000000"/>
                <w:sz w:val="22"/>
              </w:rPr>
              <w:br/>
              <w:t>Acquisition, Disposition, and Demolition</w:t>
            </w:r>
          </w:p>
        </w:tc>
        <w:tc>
          <w:tcPr>
            <w:tcW w:w="0" w:type="auto"/>
            <w:vAlign w:val="center"/>
          </w:tcPr>
          <w:p w14:paraId="16F554DA" w14:textId="77777777" w:rsidR="003B314F" w:rsidRDefault="001764E9">
            <w:pPr>
              <w:spacing w:beforeAutospacing="1" w:afterAutospacing="1"/>
            </w:pPr>
            <w:r>
              <w:rPr>
                <w:color w:val="000000"/>
                <w:sz w:val="22"/>
              </w:rPr>
              <w:t>CDBG: $</w:t>
            </w:r>
          </w:p>
        </w:tc>
        <w:tc>
          <w:tcPr>
            <w:tcW w:w="0" w:type="auto"/>
            <w:vAlign w:val="center"/>
          </w:tcPr>
          <w:p w14:paraId="5CC4E61E" w14:textId="77777777" w:rsidR="003B314F" w:rsidRDefault="001764E9">
            <w:pPr>
              <w:spacing w:beforeAutospacing="1" w:afterAutospacing="1"/>
            </w:pPr>
            <w:r>
              <w:rPr>
                <w:color w:val="000000"/>
                <w:sz w:val="22"/>
              </w:rPr>
              <w:t>Housing Code Enforcement/Foreclosed Property Care</w:t>
            </w:r>
          </w:p>
        </w:tc>
        <w:tc>
          <w:tcPr>
            <w:tcW w:w="0" w:type="auto"/>
            <w:vAlign w:val="center"/>
          </w:tcPr>
          <w:p w14:paraId="08BCEC36" w14:textId="77777777" w:rsidR="003B314F" w:rsidRDefault="001764E9">
            <w:pPr>
              <w:spacing w:beforeAutospacing="1" w:afterAutospacing="1"/>
            </w:pPr>
            <w:r>
              <w:rPr>
                <w:color w:val="000000"/>
                <w:sz w:val="22"/>
              </w:rPr>
              <w:t>Household Housing Unit</w:t>
            </w:r>
          </w:p>
        </w:tc>
        <w:tc>
          <w:tcPr>
            <w:tcW w:w="0" w:type="auto"/>
            <w:vAlign w:val="center"/>
          </w:tcPr>
          <w:p w14:paraId="52BE88E4" w14:textId="77777777" w:rsidR="003B314F" w:rsidRDefault="001764E9">
            <w:pPr>
              <w:spacing w:beforeAutospacing="1" w:afterAutospacing="1"/>
            </w:pPr>
            <w:r>
              <w:rPr>
                <w:color w:val="000000"/>
                <w:sz w:val="22"/>
              </w:rPr>
              <w:t>14000</w:t>
            </w:r>
          </w:p>
        </w:tc>
        <w:tc>
          <w:tcPr>
            <w:tcW w:w="0" w:type="auto"/>
            <w:vAlign w:val="center"/>
          </w:tcPr>
          <w:p w14:paraId="72967249" w14:textId="77777777" w:rsidR="003B314F" w:rsidRDefault="001764E9">
            <w:pPr>
              <w:spacing w:beforeAutospacing="1" w:afterAutospacing="1"/>
            </w:pPr>
            <w:r>
              <w:rPr>
                <w:color w:val="000000"/>
                <w:sz w:val="22"/>
              </w:rPr>
              <w:t>64147</w:t>
            </w:r>
          </w:p>
        </w:tc>
        <w:tc>
          <w:tcPr>
            <w:tcW w:w="0" w:type="auto"/>
            <w:vAlign w:val="center"/>
          </w:tcPr>
          <w:p w14:paraId="10AB4419" w14:textId="77777777" w:rsidR="003B314F" w:rsidRDefault="001764E9">
            <w:pPr>
              <w:spacing w:beforeAutospacing="1" w:afterAutospacing="1"/>
            </w:pPr>
            <w:r>
              <w:rPr>
                <w:color w:val="000000"/>
                <w:sz w:val="22"/>
              </w:rPr>
              <w:t xml:space="preserve">       458.19%</w:t>
            </w:r>
          </w:p>
        </w:tc>
        <w:tc>
          <w:tcPr>
            <w:tcW w:w="0" w:type="auto"/>
            <w:vAlign w:val="center"/>
          </w:tcPr>
          <w:p w14:paraId="15602403" w14:textId="77777777" w:rsidR="003B314F" w:rsidRDefault="001764E9">
            <w:pPr>
              <w:spacing w:beforeAutospacing="1" w:afterAutospacing="1"/>
            </w:pPr>
            <w:r>
              <w:rPr>
                <w:color w:val="000000"/>
                <w:sz w:val="22"/>
              </w:rPr>
              <w:t xml:space="preserve"> </w:t>
            </w:r>
          </w:p>
        </w:tc>
        <w:tc>
          <w:tcPr>
            <w:tcW w:w="0" w:type="auto"/>
            <w:vAlign w:val="center"/>
          </w:tcPr>
          <w:p w14:paraId="24525205" w14:textId="77777777" w:rsidR="003B314F" w:rsidRDefault="001764E9">
            <w:pPr>
              <w:spacing w:beforeAutospacing="1" w:afterAutospacing="1"/>
            </w:pPr>
            <w:r>
              <w:rPr>
                <w:color w:val="000000"/>
                <w:sz w:val="22"/>
              </w:rPr>
              <w:t xml:space="preserve"> </w:t>
            </w:r>
          </w:p>
        </w:tc>
        <w:tc>
          <w:tcPr>
            <w:tcW w:w="0" w:type="auto"/>
            <w:vAlign w:val="center"/>
          </w:tcPr>
          <w:p w14:paraId="052155DF" w14:textId="77777777" w:rsidR="003B314F" w:rsidRDefault="001764E9">
            <w:pPr>
              <w:spacing w:beforeAutospacing="1" w:afterAutospacing="1"/>
            </w:pPr>
            <w:r>
              <w:rPr>
                <w:color w:val="000000"/>
                <w:sz w:val="22"/>
              </w:rPr>
              <w:t xml:space="preserve"> </w:t>
            </w:r>
          </w:p>
        </w:tc>
      </w:tr>
      <w:tr w:rsidR="003B314F" w14:paraId="3885B857" w14:textId="77777777">
        <w:trPr>
          <w:cantSplit/>
        </w:trPr>
        <w:tc>
          <w:tcPr>
            <w:tcW w:w="0" w:type="auto"/>
            <w:vAlign w:val="center"/>
          </w:tcPr>
          <w:p w14:paraId="635AB7E5" w14:textId="77777777" w:rsidR="003B314F" w:rsidRDefault="001764E9">
            <w:pPr>
              <w:spacing w:beforeAutospacing="1" w:afterAutospacing="1"/>
            </w:pPr>
            <w:r>
              <w:rPr>
                <w:color w:val="000000"/>
                <w:sz w:val="22"/>
              </w:rPr>
              <w:lastRenderedPageBreak/>
              <w:t>Support the Reduction of Residential Blight</w:t>
            </w:r>
          </w:p>
        </w:tc>
        <w:tc>
          <w:tcPr>
            <w:tcW w:w="0" w:type="auto"/>
            <w:vAlign w:val="center"/>
          </w:tcPr>
          <w:p w14:paraId="2A4DC8A6" w14:textId="77777777" w:rsidR="003B314F" w:rsidRDefault="001764E9">
            <w:pPr>
              <w:spacing w:beforeAutospacing="1" w:afterAutospacing="1"/>
            </w:pPr>
            <w:r>
              <w:rPr>
                <w:color w:val="000000"/>
                <w:sz w:val="22"/>
              </w:rPr>
              <w:t>Affordable Housing</w:t>
            </w:r>
            <w:r>
              <w:rPr>
                <w:color w:val="000000"/>
                <w:sz w:val="22"/>
              </w:rPr>
              <w:br/>
              <w:t>Acquisition, Disposition, and Demolition</w:t>
            </w:r>
          </w:p>
        </w:tc>
        <w:tc>
          <w:tcPr>
            <w:tcW w:w="0" w:type="auto"/>
            <w:vAlign w:val="center"/>
          </w:tcPr>
          <w:p w14:paraId="051756D5" w14:textId="77777777" w:rsidR="003B314F" w:rsidRDefault="001764E9">
            <w:pPr>
              <w:spacing w:beforeAutospacing="1" w:afterAutospacing="1"/>
            </w:pPr>
            <w:r>
              <w:rPr>
                <w:color w:val="000000"/>
                <w:sz w:val="22"/>
              </w:rPr>
              <w:t>CDBG: $</w:t>
            </w:r>
          </w:p>
        </w:tc>
        <w:tc>
          <w:tcPr>
            <w:tcW w:w="0" w:type="auto"/>
            <w:vAlign w:val="center"/>
          </w:tcPr>
          <w:p w14:paraId="6B6AEAA4" w14:textId="77777777" w:rsidR="003B314F" w:rsidRDefault="001764E9">
            <w:pPr>
              <w:spacing w:beforeAutospacing="1" w:afterAutospacing="1"/>
            </w:pPr>
            <w:r>
              <w:rPr>
                <w:color w:val="000000"/>
                <w:sz w:val="22"/>
              </w:rPr>
              <w:t>Other</w:t>
            </w:r>
          </w:p>
        </w:tc>
        <w:tc>
          <w:tcPr>
            <w:tcW w:w="0" w:type="auto"/>
            <w:vAlign w:val="center"/>
          </w:tcPr>
          <w:p w14:paraId="7FB8776E" w14:textId="77777777" w:rsidR="003B314F" w:rsidRDefault="001764E9">
            <w:pPr>
              <w:spacing w:beforeAutospacing="1" w:afterAutospacing="1"/>
            </w:pPr>
            <w:r>
              <w:rPr>
                <w:color w:val="000000"/>
                <w:sz w:val="22"/>
              </w:rPr>
              <w:t>Other</w:t>
            </w:r>
          </w:p>
        </w:tc>
        <w:tc>
          <w:tcPr>
            <w:tcW w:w="0" w:type="auto"/>
            <w:vAlign w:val="center"/>
          </w:tcPr>
          <w:p w14:paraId="62CABFDA" w14:textId="77777777" w:rsidR="003B314F" w:rsidRDefault="001764E9">
            <w:pPr>
              <w:spacing w:beforeAutospacing="1" w:afterAutospacing="1"/>
            </w:pPr>
            <w:r>
              <w:rPr>
                <w:color w:val="000000"/>
                <w:sz w:val="22"/>
              </w:rPr>
              <w:t>25</w:t>
            </w:r>
          </w:p>
        </w:tc>
        <w:tc>
          <w:tcPr>
            <w:tcW w:w="0" w:type="auto"/>
            <w:vAlign w:val="center"/>
          </w:tcPr>
          <w:p w14:paraId="172F0901" w14:textId="77777777" w:rsidR="003B314F" w:rsidRDefault="001764E9">
            <w:pPr>
              <w:spacing w:beforeAutospacing="1" w:afterAutospacing="1"/>
            </w:pPr>
            <w:r>
              <w:rPr>
                <w:color w:val="000000"/>
                <w:sz w:val="22"/>
              </w:rPr>
              <w:t>0</w:t>
            </w:r>
          </w:p>
        </w:tc>
        <w:tc>
          <w:tcPr>
            <w:tcW w:w="0" w:type="auto"/>
            <w:vAlign w:val="center"/>
          </w:tcPr>
          <w:p w14:paraId="02793A0B" w14:textId="77777777" w:rsidR="003B314F" w:rsidRDefault="001764E9">
            <w:pPr>
              <w:spacing w:beforeAutospacing="1" w:afterAutospacing="1"/>
            </w:pPr>
            <w:r>
              <w:rPr>
                <w:color w:val="000000"/>
                <w:sz w:val="22"/>
              </w:rPr>
              <w:t xml:space="preserve">         0.00%</w:t>
            </w:r>
          </w:p>
        </w:tc>
        <w:tc>
          <w:tcPr>
            <w:tcW w:w="0" w:type="auto"/>
            <w:vAlign w:val="center"/>
          </w:tcPr>
          <w:p w14:paraId="7FB460D4" w14:textId="77777777" w:rsidR="003B314F" w:rsidRDefault="001764E9">
            <w:pPr>
              <w:spacing w:beforeAutospacing="1" w:afterAutospacing="1"/>
            </w:pPr>
            <w:r>
              <w:rPr>
                <w:color w:val="000000"/>
                <w:sz w:val="22"/>
              </w:rPr>
              <w:t>5</w:t>
            </w:r>
          </w:p>
        </w:tc>
        <w:tc>
          <w:tcPr>
            <w:tcW w:w="0" w:type="auto"/>
            <w:vAlign w:val="center"/>
          </w:tcPr>
          <w:p w14:paraId="45F3A4FF" w14:textId="77777777" w:rsidR="003B314F" w:rsidRDefault="001764E9">
            <w:pPr>
              <w:spacing w:beforeAutospacing="1" w:afterAutospacing="1"/>
            </w:pPr>
            <w:r>
              <w:rPr>
                <w:color w:val="000000"/>
                <w:sz w:val="22"/>
              </w:rPr>
              <w:t>0</w:t>
            </w:r>
          </w:p>
        </w:tc>
        <w:tc>
          <w:tcPr>
            <w:tcW w:w="0" w:type="auto"/>
            <w:vAlign w:val="center"/>
          </w:tcPr>
          <w:p w14:paraId="2F0D9E7C" w14:textId="77777777" w:rsidR="003B314F" w:rsidRDefault="001764E9">
            <w:pPr>
              <w:spacing w:beforeAutospacing="1" w:afterAutospacing="1"/>
            </w:pPr>
            <w:r>
              <w:rPr>
                <w:color w:val="000000"/>
                <w:sz w:val="22"/>
              </w:rPr>
              <w:t xml:space="preserve">         0.00%</w:t>
            </w:r>
          </w:p>
        </w:tc>
      </w:tr>
    </w:tbl>
    <w:p w14:paraId="7CFDAB68" w14:textId="77777777" w:rsidR="003B314F" w:rsidRDefault="001764E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Accomplishments – Program Year &amp; Strategic Plan to Date</w:t>
      </w:r>
    </w:p>
    <w:p w14:paraId="2AA5B1C3" w14:textId="77777777" w:rsidR="003B314F" w:rsidRDefault="003B314F"/>
    <w:p w14:paraId="31A15EC8" w14:textId="77777777" w:rsidR="003B314F" w:rsidRDefault="003B314F">
      <w:pPr>
        <w:spacing w:after="0" w:line="240" w:lineRule="auto"/>
      </w:pPr>
    </w:p>
    <w:p w14:paraId="16BDE970" w14:textId="77777777" w:rsidR="003B314F" w:rsidRDefault="001764E9">
      <w:pPr>
        <w:keepNext/>
        <w:widowControl w:val="0"/>
        <w:rPr>
          <w:b/>
          <w:sz w:val="24"/>
          <w:szCs w:val="24"/>
        </w:rPr>
      </w:pPr>
      <w:r>
        <w:rPr>
          <w:b/>
          <w:sz w:val="24"/>
          <w:szCs w:val="24"/>
        </w:rPr>
        <w:t>Assess how the jurisdiction’s use of funds, particularly CDBG, addresses the priorities and specific objectives identified in the plan, giving special attention to the highest priority activities identified.</w:t>
      </w:r>
    </w:p>
    <w:p w14:paraId="0EB12BCE" w14:textId="77777777" w:rsidR="003B314F" w:rsidRDefault="001764E9">
      <w:pPr>
        <w:keepNext/>
        <w:widowControl w:val="0"/>
        <w:spacing w:beforeAutospacing="1" w:afterAutospacing="1"/>
      </w:pPr>
      <w:r>
        <w:t>During the grant application process, organizations applying for CDBG, ESG, and HOME grant funds must be operating a program that addresses at least one of the three National Objectives and at least one high or medium priority community or housing development need. The most frequently used national objective in the grant applications are activities of low-to-moderate income (LMI) benefit, typically in the form of direct service to LMI clientele or of LMI area benefit. The second national objective most used</w:t>
      </w:r>
      <w:r>
        <w:t xml:space="preserve"> in applications is to address conditions of slum and blight, resulting in the demolition and disposition of property. The urgent need National Objective has not been used in this </w:t>
      </w:r>
      <w:proofErr w:type="gramStart"/>
      <w:r>
        <w:t>time period</w:t>
      </w:r>
      <w:proofErr w:type="gramEnd"/>
      <w:r>
        <w:t>.</w:t>
      </w:r>
    </w:p>
    <w:p w14:paraId="3DEA4791" w14:textId="77777777" w:rsidR="003B314F" w:rsidRDefault="001764E9">
      <w:pPr>
        <w:keepNext/>
        <w:widowControl w:val="0"/>
        <w:spacing w:beforeAutospacing="1" w:afterAutospacing="1"/>
      </w:pPr>
      <w:r>
        <w:t xml:space="preserve">The highest ranked community development priority need, as established in the 2020-2024 Consolidated Plan, is “Assisting Abused and Neglected Children and Children Facilities.” In 2024, the </w:t>
      </w:r>
      <w:proofErr w:type="gramStart"/>
      <w:r>
        <w:t>City</w:t>
      </w:r>
      <w:proofErr w:type="gramEnd"/>
      <w:r>
        <w:t xml:space="preserve"> provides ESG funding to domestic violence shelters while CDBG allocations assist with an emergency daycare program and multiple child-care and youth programs addressing the needs of at-risk children. </w:t>
      </w:r>
    </w:p>
    <w:p w14:paraId="5FC85553" w14:textId="77777777" w:rsidR="003B314F" w:rsidRDefault="003B314F">
      <w:pPr>
        <w:keepNext/>
        <w:widowControl w:val="0"/>
        <w:spacing w:line="204" w:lineRule="auto"/>
        <w:rPr>
          <w:b/>
          <w:sz w:val="24"/>
          <w:szCs w:val="24"/>
        </w:rPr>
      </w:pPr>
    </w:p>
    <w:p w14:paraId="237E2E37" w14:textId="77777777" w:rsidR="003B314F" w:rsidRDefault="003B314F">
      <w:pPr>
        <w:rPr>
          <w:b/>
          <w:i/>
          <w:sz w:val="26"/>
          <w:szCs w:val="26"/>
        </w:rPr>
        <w:sectPr w:rsidR="003B314F" w:rsidSect="001764E9">
          <w:type w:val="continuous"/>
          <w:pgSz w:w="15840" w:h="12240" w:orient="landscape"/>
          <w:pgMar w:top="1440" w:right="1440" w:bottom="1440" w:left="1440" w:header="720" w:footer="720" w:gutter="0"/>
          <w:cols w:space="720"/>
          <w:docGrid w:linePitch="360"/>
        </w:sectPr>
      </w:pPr>
    </w:p>
    <w:p w14:paraId="3ABFBE63" w14:textId="77777777" w:rsidR="003B314F" w:rsidRDefault="001764E9">
      <w:pPr>
        <w:pStyle w:val="Heading2"/>
        <w:rPr>
          <w:rFonts w:asciiTheme="minorHAnsi" w:hAnsiTheme="minorHAnsi"/>
          <w:i w:val="0"/>
        </w:rPr>
      </w:pPr>
      <w:bookmarkStart w:id="0" w:name="_Toc309810474"/>
      <w:r>
        <w:rPr>
          <w:rFonts w:asciiTheme="minorHAnsi" w:hAnsiTheme="minorHAnsi"/>
          <w:i w:val="0"/>
        </w:rPr>
        <w:lastRenderedPageBreak/>
        <w:t>CR-10 - Racial and Ethnic composition of families assisted</w:t>
      </w:r>
    </w:p>
    <w:p w14:paraId="68F79D9A" w14:textId="77777777" w:rsidR="003B314F" w:rsidRDefault="001764E9">
      <w:pPr>
        <w:keepNext/>
        <w:widowControl w:val="0"/>
        <w:rPr>
          <w:b/>
          <w:sz w:val="24"/>
          <w:szCs w:val="24"/>
        </w:rPr>
      </w:pPr>
      <w:r>
        <w:rPr>
          <w:b/>
          <w:sz w:val="24"/>
          <w:szCs w:val="24"/>
        </w:rPr>
        <w:t xml:space="preserve">Describe the families assisted (including the racial and ethnic status of families assisted). 91.520(a) </w:t>
      </w:r>
    </w:p>
    <w:p w14:paraId="7E65FB47" w14:textId="77777777" w:rsidR="003B314F" w:rsidRDefault="003B314F">
      <w:pPr>
        <w:widowControl w:val="0"/>
        <w:spacing w:after="0" w:line="240" w:lineRule="auto"/>
        <w:rPr>
          <w:b/>
          <w:vanish/>
          <w:sz w:val="24"/>
          <w:szCs w:val="24"/>
        </w:rPr>
      </w:pPr>
    </w:p>
    <w:p w14:paraId="2965C6EF" w14:textId="77777777" w:rsidR="003B314F" w:rsidRDefault="003B314F">
      <w:pPr>
        <w:pStyle w:val="NoSpacing"/>
        <w:rPr>
          <w:vanish/>
        </w:rPr>
      </w:pPr>
    </w:p>
    <w:p w14:paraId="408D8748" w14:textId="77777777" w:rsidR="003B314F" w:rsidRDefault="003B314F">
      <w:pPr>
        <w:pStyle w:val="NoSpacing"/>
        <w:rPr>
          <w:vanish/>
        </w:rPr>
      </w:pPr>
    </w:p>
    <w:p w14:paraId="108BA170" w14:textId="77777777" w:rsidR="003B314F" w:rsidRDefault="003B314F">
      <w:pPr>
        <w:pStyle w:val="NoSpacing"/>
        <w:rPr>
          <w:vanish/>
        </w:rPr>
      </w:pPr>
    </w:p>
    <w:p w14:paraId="57BCF5B7" w14:textId="77777777" w:rsidR="003B314F" w:rsidRDefault="003B314F">
      <w:pPr>
        <w:pStyle w:val="NoSpacing"/>
        <w:rPr>
          <w:vanish/>
        </w:rPr>
      </w:pPr>
    </w:p>
    <w:p w14:paraId="072B57E2" w14:textId="77777777" w:rsidR="003B314F" w:rsidRDefault="003B314F">
      <w:pPr>
        <w:pStyle w:val="NoSpacing"/>
        <w:rPr>
          <w:vanish/>
        </w:rPr>
      </w:pPr>
    </w:p>
    <w:p w14:paraId="24D729E2" w14:textId="77777777" w:rsidR="003B314F" w:rsidRDefault="003B314F">
      <w:pPr>
        <w:pStyle w:val="NoSpacing"/>
        <w:rPr>
          <w:vanish/>
        </w:rPr>
      </w:pPr>
    </w:p>
    <w:p w14:paraId="6D6E8017" w14:textId="77777777" w:rsidR="003B314F" w:rsidRDefault="003B314F">
      <w:pPr>
        <w:pStyle w:val="NoSpacing"/>
        <w:rPr>
          <w:vanish/>
        </w:rPr>
      </w:pPr>
    </w:p>
    <w:p w14:paraId="4334ED03" w14:textId="77777777" w:rsidR="003B314F" w:rsidRDefault="003B314F">
      <w:pPr>
        <w:pStyle w:val="NoSpacing"/>
        <w:rPr>
          <w:vanish/>
        </w:rPr>
      </w:pPr>
    </w:p>
    <w:p w14:paraId="60757344" w14:textId="77777777" w:rsidR="003B314F" w:rsidRDefault="003B314F">
      <w:pPr>
        <w:pStyle w:val="NoSpacing"/>
        <w:rPr>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7"/>
        <w:gridCol w:w="1551"/>
        <w:gridCol w:w="1551"/>
      </w:tblGrid>
      <w:tr w:rsidR="003B314F" w14:paraId="3CC507AF" w14:textId="77777777">
        <w:trPr>
          <w:cantSplit/>
        </w:trPr>
        <w:tc>
          <w:tcPr>
            <w:tcW w:w="3009" w:type="pct"/>
          </w:tcPr>
          <w:p w14:paraId="14D3D61E" w14:textId="77777777" w:rsidR="003B314F" w:rsidRDefault="003B314F">
            <w:pPr>
              <w:spacing w:after="0"/>
              <w:rPr>
                <w:b/>
              </w:rPr>
            </w:pPr>
          </w:p>
        </w:tc>
        <w:tc>
          <w:tcPr>
            <w:tcW w:w="992" w:type="pct"/>
          </w:tcPr>
          <w:p w14:paraId="1DC9EB48" w14:textId="77777777" w:rsidR="003B314F" w:rsidRDefault="001764E9">
            <w:pPr>
              <w:spacing w:after="0"/>
              <w:jc w:val="center"/>
              <w:rPr>
                <w:b/>
              </w:rPr>
            </w:pPr>
            <w:r>
              <w:rPr>
                <w:b/>
              </w:rPr>
              <w:t>CDBG</w:t>
            </w:r>
          </w:p>
        </w:tc>
        <w:tc>
          <w:tcPr>
            <w:tcW w:w="992" w:type="pct"/>
          </w:tcPr>
          <w:p w14:paraId="6653ED57" w14:textId="77777777" w:rsidR="003B314F" w:rsidRDefault="001764E9">
            <w:pPr>
              <w:spacing w:after="0"/>
              <w:jc w:val="center"/>
              <w:rPr>
                <w:b/>
              </w:rPr>
            </w:pPr>
            <w:r>
              <w:rPr>
                <w:b/>
              </w:rPr>
              <w:t>HOME</w:t>
            </w:r>
          </w:p>
        </w:tc>
      </w:tr>
      <w:tr w:rsidR="003B314F" w14:paraId="583956FD" w14:textId="77777777">
        <w:trPr>
          <w:cantSplit/>
        </w:trPr>
        <w:tc>
          <w:tcPr>
            <w:tcW w:w="4821" w:type="dxa"/>
            <w:vAlign w:val="bottom"/>
          </w:tcPr>
          <w:p w14:paraId="6DC49FAF" w14:textId="77777777" w:rsidR="003B314F" w:rsidRDefault="001764E9">
            <w:pPr>
              <w:spacing w:beforeAutospacing="1" w:afterAutospacing="1"/>
            </w:pPr>
            <w:r>
              <w:rPr>
                <w:color w:val="000000"/>
              </w:rPr>
              <w:t>White</w:t>
            </w:r>
          </w:p>
        </w:tc>
        <w:tc>
          <w:tcPr>
            <w:tcW w:w="1589" w:type="dxa"/>
            <w:vAlign w:val="bottom"/>
          </w:tcPr>
          <w:p w14:paraId="2B2EF7FC" w14:textId="77777777" w:rsidR="003B314F" w:rsidRDefault="001764E9">
            <w:pPr>
              <w:spacing w:beforeAutospacing="1" w:afterAutospacing="1"/>
              <w:jc w:val="right"/>
            </w:pPr>
            <w:r>
              <w:rPr>
                <w:color w:val="000000"/>
              </w:rPr>
              <w:t>11,214</w:t>
            </w:r>
          </w:p>
        </w:tc>
        <w:tc>
          <w:tcPr>
            <w:tcW w:w="1589" w:type="dxa"/>
            <w:vAlign w:val="bottom"/>
          </w:tcPr>
          <w:p w14:paraId="43EC3851" w14:textId="77777777" w:rsidR="003B314F" w:rsidRDefault="001764E9">
            <w:pPr>
              <w:spacing w:beforeAutospacing="1" w:afterAutospacing="1"/>
              <w:jc w:val="right"/>
            </w:pPr>
            <w:r>
              <w:rPr>
                <w:color w:val="000000"/>
              </w:rPr>
              <w:t>6</w:t>
            </w:r>
          </w:p>
        </w:tc>
      </w:tr>
      <w:tr w:rsidR="003B314F" w14:paraId="7B64A0B2" w14:textId="77777777">
        <w:trPr>
          <w:cantSplit/>
        </w:trPr>
        <w:tc>
          <w:tcPr>
            <w:tcW w:w="4821" w:type="dxa"/>
            <w:vAlign w:val="bottom"/>
          </w:tcPr>
          <w:p w14:paraId="2ACB0067" w14:textId="77777777" w:rsidR="003B314F" w:rsidRDefault="001764E9">
            <w:pPr>
              <w:spacing w:beforeAutospacing="1" w:afterAutospacing="1"/>
            </w:pPr>
            <w:r>
              <w:rPr>
                <w:color w:val="000000"/>
              </w:rPr>
              <w:t>Black or African American</w:t>
            </w:r>
          </w:p>
        </w:tc>
        <w:tc>
          <w:tcPr>
            <w:tcW w:w="1589" w:type="dxa"/>
            <w:vAlign w:val="bottom"/>
          </w:tcPr>
          <w:p w14:paraId="48DB36C0" w14:textId="77777777" w:rsidR="003B314F" w:rsidRDefault="001764E9">
            <w:pPr>
              <w:spacing w:beforeAutospacing="1" w:afterAutospacing="1"/>
              <w:jc w:val="right"/>
            </w:pPr>
            <w:r>
              <w:rPr>
                <w:color w:val="000000"/>
              </w:rPr>
              <w:t>3,790</w:t>
            </w:r>
          </w:p>
        </w:tc>
        <w:tc>
          <w:tcPr>
            <w:tcW w:w="1589" w:type="dxa"/>
            <w:vAlign w:val="bottom"/>
          </w:tcPr>
          <w:p w14:paraId="1CD03A98" w14:textId="77777777" w:rsidR="003B314F" w:rsidRDefault="001764E9">
            <w:pPr>
              <w:spacing w:beforeAutospacing="1" w:afterAutospacing="1"/>
              <w:jc w:val="right"/>
            </w:pPr>
            <w:r>
              <w:rPr>
                <w:color w:val="000000"/>
              </w:rPr>
              <w:t>17</w:t>
            </w:r>
          </w:p>
        </w:tc>
      </w:tr>
      <w:tr w:rsidR="003B314F" w14:paraId="494DD36E" w14:textId="77777777">
        <w:trPr>
          <w:cantSplit/>
        </w:trPr>
        <w:tc>
          <w:tcPr>
            <w:tcW w:w="4821" w:type="dxa"/>
            <w:vAlign w:val="bottom"/>
          </w:tcPr>
          <w:p w14:paraId="5E75D7CE" w14:textId="77777777" w:rsidR="003B314F" w:rsidRDefault="001764E9">
            <w:pPr>
              <w:spacing w:beforeAutospacing="1" w:afterAutospacing="1"/>
            </w:pPr>
            <w:r>
              <w:rPr>
                <w:color w:val="000000"/>
              </w:rPr>
              <w:t>Asian</w:t>
            </w:r>
          </w:p>
        </w:tc>
        <w:tc>
          <w:tcPr>
            <w:tcW w:w="1589" w:type="dxa"/>
            <w:vAlign w:val="bottom"/>
          </w:tcPr>
          <w:p w14:paraId="69E4DF83" w14:textId="77777777" w:rsidR="003B314F" w:rsidRDefault="001764E9">
            <w:pPr>
              <w:spacing w:beforeAutospacing="1" w:afterAutospacing="1"/>
              <w:jc w:val="right"/>
            </w:pPr>
            <w:r>
              <w:rPr>
                <w:color w:val="000000"/>
              </w:rPr>
              <w:t>32</w:t>
            </w:r>
          </w:p>
        </w:tc>
        <w:tc>
          <w:tcPr>
            <w:tcW w:w="1589" w:type="dxa"/>
            <w:vAlign w:val="bottom"/>
          </w:tcPr>
          <w:p w14:paraId="0C5F9117" w14:textId="77777777" w:rsidR="003B314F" w:rsidRDefault="001764E9">
            <w:pPr>
              <w:spacing w:beforeAutospacing="1" w:afterAutospacing="1"/>
              <w:jc w:val="right"/>
            </w:pPr>
            <w:r>
              <w:rPr>
                <w:color w:val="000000"/>
              </w:rPr>
              <w:t>0</w:t>
            </w:r>
          </w:p>
        </w:tc>
      </w:tr>
      <w:tr w:rsidR="003B314F" w14:paraId="3AD7DC8C" w14:textId="77777777">
        <w:trPr>
          <w:cantSplit/>
        </w:trPr>
        <w:tc>
          <w:tcPr>
            <w:tcW w:w="4821" w:type="dxa"/>
            <w:vAlign w:val="bottom"/>
          </w:tcPr>
          <w:p w14:paraId="49B50604" w14:textId="77777777" w:rsidR="003B314F" w:rsidRDefault="001764E9">
            <w:pPr>
              <w:spacing w:beforeAutospacing="1" w:afterAutospacing="1"/>
            </w:pPr>
            <w:r>
              <w:rPr>
                <w:color w:val="000000"/>
              </w:rPr>
              <w:t>American Indian or American Native</w:t>
            </w:r>
          </w:p>
        </w:tc>
        <w:tc>
          <w:tcPr>
            <w:tcW w:w="1589" w:type="dxa"/>
            <w:vAlign w:val="bottom"/>
          </w:tcPr>
          <w:p w14:paraId="40B4A63D" w14:textId="77777777" w:rsidR="003B314F" w:rsidRDefault="001764E9">
            <w:pPr>
              <w:spacing w:beforeAutospacing="1" w:afterAutospacing="1"/>
              <w:jc w:val="right"/>
            </w:pPr>
            <w:r>
              <w:rPr>
                <w:color w:val="000000"/>
              </w:rPr>
              <w:t>31</w:t>
            </w:r>
          </w:p>
        </w:tc>
        <w:tc>
          <w:tcPr>
            <w:tcW w:w="1589" w:type="dxa"/>
            <w:vAlign w:val="bottom"/>
          </w:tcPr>
          <w:p w14:paraId="6D5A4361" w14:textId="77777777" w:rsidR="003B314F" w:rsidRDefault="001764E9">
            <w:pPr>
              <w:spacing w:beforeAutospacing="1" w:afterAutospacing="1"/>
              <w:jc w:val="right"/>
            </w:pPr>
            <w:r>
              <w:rPr>
                <w:color w:val="000000"/>
              </w:rPr>
              <w:t>0</w:t>
            </w:r>
          </w:p>
        </w:tc>
      </w:tr>
      <w:tr w:rsidR="003B314F" w14:paraId="0F2092F8" w14:textId="77777777">
        <w:trPr>
          <w:cantSplit/>
        </w:trPr>
        <w:tc>
          <w:tcPr>
            <w:tcW w:w="4821" w:type="dxa"/>
            <w:vAlign w:val="bottom"/>
          </w:tcPr>
          <w:p w14:paraId="0634A787" w14:textId="77777777" w:rsidR="003B314F" w:rsidRDefault="001764E9">
            <w:pPr>
              <w:spacing w:beforeAutospacing="1" w:afterAutospacing="1"/>
            </w:pPr>
            <w:r>
              <w:rPr>
                <w:color w:val="000000"/>
              </w:rPr>
              <w:t>Native Hawaiian or Other Pacific Islander</w:t>
            </w:r>
          </w:p>
        </w:tc>
        <w:tc>
          <w:tcPr>
            <w:tcW w:w="1589" w:type="dxa"/>
            <w:vAlign w:val="bottom"/>
          </w:tcPr>
          <w:p w14:paraId="2D0B9027" w14:textId="77777777" w:rsidR="003B314F" w:rsidRDefault="001764E9">
            <w:pPr>
              <w:spacing w:beforeAutospacing="1" w:afterAutospacing="1"/>
              <w:jc w:val="right"/>
            </w:pPr>
            <w:r>
              <w:rPr>
                <w:color w:val="000000"/>
              </w:rPr>
              <w:t>62</w:t>
            </w:r>
          </w:p>
        </w:tc>
        <w:tc>
          <w:tcPr>
            <w:tcW w:w="1589" w:type="dxa"/>
            <w:vAlign w:val="bottom"/>
          </w:tcPr>
          <w:p w14:paraId="2FA60528" w14:textId="77777777" w:rsidR="003B314F" w:rsidRDefault="001764E9">
            <w:pPr>
              <w:spacing w:beforeAutospacing="1" w:afterAutospacing="1"/>
              <w:jc w:val="right"/>
            </w:pPr>
            <w:r>
              <w:rPr>
                <w:color w:val="000000"/>
              </w:rPr>
              <w:t>0</w:t>
            </w:r>
          </w:p>
        </w:tc>
      </w:tr>
    </w:tbl>
    <w:p w14:paraId="6FB2F9D9" w14:textId="77777777" w:rsidR="003B314F" w:rsidRDefault="003B314F">
      <w:pPr>
        <w:pStyle w:val="NoSpacing"/>
        <w:rPr>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7"/>
        <w:gridCol w:w="1551"/>
        <w:gridCol w:w="1551"/>
      </w:tblGrid>
      <w:tr w:rsidR="003B314F" w14:paraId="65A934B5" w14:textId="77777777">
        <w:trPr>
          <w:cantSplit/>
          <w:hidden/>
        </w:trPr>
        <w:tc>
          <w:tcPr>
            <w:tcW w:w="3009" w:type="pct"/>
          </w:tcPr>
          <w:p w14:paraId="4027FE28" w14:textId="77777777" w:rsidR="003B314F" w:rsidRDefault="003B314F">
            <w:pPr>
              <w:keepNext/>
              <w:widowControl w:val="0"/>
              <w:spacing w:after="0" w:line="240" w:lineRule="auto"/>
              <w:rPr>
                <w:vanish/>
              </w:rPr>
            </w:pPr>
          </w:p>
        </w:tc>
        <w:tc>
          <w:tcPr>
            <w:tcW w:w="992" w:type="pct"/>
          </w:tcPr>
          <w:p w14:paraId="594E15FA" w14:textId="77777777" w:rsidR="003B314F" w:rsidRDefault="003B314F">
            <w:pPr>
              <w:keepNext/>
              <w:widowControl w:val="0"/>
              <w:spacing w:after="0" w:line="240" w:lineRule="auto"/>
              <w:jc w:val="center"/>
              <w:rPr>
                <w:b/>
                <w:vanish/>
              </w:rPr>
            </w:pPr>
          </w:p>
        </w:tc>
        <w:tc>
          <w:tcPr>
            <w:tcW w:w="992" w:type="pct"/>
          </w:tcPr>
          <w:p w14:paraId="23AE02AC" w14:textId="77777777" w:rsidR="003B314F" w:rsidRDefault="003B314F">
            <w:pPr>
              <w:keepNext/>
              <w:widowControl w:val="0"/>
              <w:spacing w:after="0" w:line="240" w:lineRule="auto"/>
              <w:jc w:val="center"/>
              <w:rPr>
                <w:b/>
                <w:vanish/>
              </w:rPr>
            </w:pPr>
          </w:p>
        </w:tc>
      </w:tr>
      <w:tr w:rsidR="003B314F" w14:paraId="7F681E5F" w14:textId="77777777">
        <w:trPr>
          <w:cantSplit/>
        </w:trPr>
        <w:tc>
          <w:tcPr>
            <w:tcW w:w="4821" w:type="dxa"/>
            <w:vAlign w:val="bottom"/>
          </w:tcPr>
          <w:p w14:paraId="2757F4BF" w14:textId="77777777" w:rsidR="003B314F" w:rsidRDefault="001764E9">
            <w:pPr>
              <w:spacing w:beforeAutospacing="1" w:afterAutospacing="1"/>
            </w:pPr>
            <w:r>
              <w:rPr>
                <w:b/>
                <w:color w:val="000000"/>
              </w:rPr>
              <w:t>Total</w:t>
            </w:r>
          </w:p>
        </w:tc>
        <w:tc>
          <w:tcPr>
            <w:tcW w:w="1589" w:type="dxa"/>
            <w:vAlign w:val="bottom"/>
          </w:tcPr>
          <w:p w14:paraId="745519ED" w14:textId="77777777" w:rsidR="003B314F" w:rsidRDefault="001764E9">
            <w:pPr>
              <w:spacing w:beforeAutospacing="1" w:afterAutospacing="1"/>
              <w:jc w:val="right"/>
            </w:pPr>
            <w:r>
              <w:rPr>
                <w:b/>
                <w:color w:val="000000"/>
              </w:rPr>
              <w:t>15,129</w:t>
            </w:r>
          </w:p>
        </w:tc>
        <w:tc>
          <w:tcPr>
            <w:tcW w:w="1589" w:type="dxa"/>
            <w:vAlign w:val="bottom"/>
          </w:tcPr>
          <w:p w14:paraId="7FD0916E" w14:textId="77777777" w:rsidR="003B314F" w:rsidRDefault="001764E9">
            <w:pPr>
              <w:spacing w:beforeAutospacing="1" w:afterAutospacing="1"/>
              <w:jc w:val="right"/>
            </w:pPr>
            <w:r>
              <w:rPr>
                <w:b/>
                <w:color w:val="000000"/>
              </w:rPr>
              <w:t>23</w:t>
            </w:r>
          </w:p>
        </w:tc>
      </w:tr>
    </w:tbl>
    <w:p w14:paraId="586214A0" w14:textId="77777777" w:rsidR="003B314F" w:rsidRDefault="003B314F">
      <w:pPr>
        <w:pStyle w:val="NoSpacing"/>
        <w:rPr>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7"/>
        <w:gridCol w:w="1551"/>
        <w:gridCol w:w="1551"/>
      </w:tblGrid>
      <w:tr w:rsidR="003B314F" w14:paraId="43F86DEF" w14:textId="77777777">
        <w:trPr>
          <w:cantSplit/>
          <w:hidden/>
        </w:trPr>
        <w:tc>
          <w:tcPr>
            <w:tcW w:w="3009" w:type="pct"/>
          </w:tcPr>
          <w:p w14:paraId="45BE308A" w14:textId="77777777" w:rsidR="003B314F" w:rsidRDefault="003B314F">
            <w:pPr>
              <w:keepNext/>
              <w:widowControl w:val="0"/>
              <w:spacing w:after="0" w:line="240" w:lineRule="auto"/>
              <w:rPr>
                <w:vanish/>
              </w:rPr>
            </w:pPr>
          </w:p>
        </w:tc>
        <w:tc>
          <w:tcPr>
            <w:tcW w:w="992" w:type="pct"/>
          </w:tcPr>
          <w:p w14:paraId="2C5905FC" w14:textId="77777777" w:rsidR="003B314F" w:rsidRDefault="003B314F">
            <w:pPr>
              <w:keepNext/>
              <w:widowControl w:val="0"/>
              <w:spacing w:after="0" w:line="240" w:lineRule="auto"/>
              <w:jc w:val="center"/>
              <w:rPr>
                <w:b/>
                <w:vanish/>
              </w:rPr>
            </w:pPr>
          </w:p>
        </w:tc>
        <w:tc>
          <w:tcPr>
            <w:tcW w:w="992" w:type="pct"/>
          </w:tcPr>
          <w:p w14:paraId="6E4764F1" w14:textId="77777777" w:rsidR="003B314F" w:rsidRDefault="003B314F">
            <w:pPr>
              <w:keepNext/>
              <w:widowControl w:val="0"/>
              <w:spacing w:after="0" w:line="240" w:lineRule="auto"/>
              <w:jc w:val="center"/>
              <w:rPr>
                <w:b/>
                <w:vanish/>
              </w:rPr>
            </w:pPr>
          </w:p>
        </w:tc>
      </w:tr>
      <w:tr w:rsidR="003B314F" w14:paraId="7282EC71" w14:textId="77777777">
        <w:trPr>
          <w:cantSplit/>
        </w:trPr>
        <w:tc>
          <w:tcPr>
            <w:tcW w:w="4821" w:type="dxa"/>
            <w:vAlign w:val="bottom"/>
          </w:tcPr>
          <w:p w14:paraId="2C9E3162" w14:textId="77777777" w:rsidR="003B314F" w:rsidRDefault="001764E9">
            <w:pPr>
              <w:spacing w:beforeAutospacing="1" w:afterAutospacing="1"/>
            </w:pPr>
            <w:r>
              <w:rPr>
                <w:color w:val="000000"/>
              </w:rPr>
              <w:t>Hispanic</w:t>
            </w:r>
          </w:p>
        </w:tc>
        <w:tc>
          <w:tcPr>
            <w:tcW w:w="1589" w:type="dxa"/>
            <w:vAlign w:val="bottom"/>
          </w:tcPr>
          <w:p w14:paraId="4BD941FC" w14:textId="77777777" w:rsidR="003B314F" w:rsidRDefault="001764E9">
            <w:pPr>
              <w:spacing w:beforeAutospacing="1" w:afterAutospacing="1"/>
              <w:jc w:val="right"/>
            </w:pPr>
            <w:r>
              <w:rPr>
                <w:color w:val="000000"/>
              </w:rPr>
              <w:t>810</w:t>
            </w:r>
          </w:p>
        </w:tc>
        <w:tc>
          <w:tcPr>
            <w:tcW w:w="1589" w:type="dxa"/>
            <w:vAlign w:val="bottom"/>
          </w:tcPr>
          <w:p w14:paraId="68C54207" w14:textId="77777777" w:rsidR="003B314F" w:rsidRDefault="001764E9">
            <w:pPr>
              <w:spacing w:beforeAutospacing="1" w:afterAutospacing="1"/>
              <w:jc w:val="right"/>
            </w:pPr>
            <w:r>
              <w:rPr>
                <w:color w:val="000000"/>
              </w:rPr>
              <w:t>0</w:t>
            </w:r>
          </w:p>
        </w:tc>
      </w:tr>
      <w:tr w:rsidR="003B314F" w14:paraId="4C22C901" w14:textId="77777777">
        <w:trPr>
          <w:cantSplit/>
        </w:trPr>
        <w:tc>
          <w:tcPr>
            <w:tcW w:w="4821" w:type="dxa"/>
            <w:vAlign w:val="bottom"/>
          </w:tcPr>
          <w:p w14:paraId="23B5AC74" w14:textId="77777777" w:rsidR="003B314F" w:rsidRDefault="001764E9">
            <w:pPr>
              <w:spacing w:beforeAutospacing="1" w:afterAutospacing="1"/>
            </w:pPr>
            <w:r>
              <w:rPr>
                <w:color w:val="000000"/>
              </w:rPr>
              <w:t>Not Hispanic</w:t>
            </w:r>
          </w:p>
        </w:tc>
        <w:tc>
          <w:tcPr>
            <w:tcW w:w="1589" w:type="dxa"/>
            <w:vAlign w:val="bottom"/>
          </w:tcPr>
          <w:p w14:paraId="0BA5AC4B" w14:textId="77777777" w:rsidR="003B314F" w:rsidRDefault="001764E9">
            <w:pPr>
              <w:spacing w:beforeAutospacing="1" w:afterAutospacing="1"/>
              <w:jc w:val="right"/>
            </w:pPr>
            <w:r>
              <w:rPr>
                <w:color w:val="000000"/>
              </w:rPr>
              <w:t>14,319</w:t>
            </w:r>
          </w:p>
        </w:tc>
        <w:tc>
          <w:tcPr>
            <w:tcW w:w="1589" w:type="dxa"/>
            <w:vAlign w:val="bottom"/>
          </w:tcPr>
          <w:p w14:paraId="6DCF7E07" w14:textId="77777777" w:rsidR="003B314F" w:rsidRDefault="001764E9">
            <w:pPr>
              <w:spacing w:beforeAutospacing="1" w:afterAutospacing="1"/>
              <w:jc w:val="right"/>
            </w:pPr>
            <w:r>
              <w:rPr>
                <w:color w:val="000000"/>
              </w:rPr>
              <w:t>23</w:t>
            </w:r>
          </w:p>
        </w:tc>
      </w:tr>
    </w:tbl>
    <w:p w14:paraId="6D860BF2" w14:textId="77777777" w:rsidR="003B314F" w:rsidRDefault="003B314F">
      <w:pPr>
        <w:pStyle w:val="NoSpacing"/>
        <w:rPr>
          <w:vanish/>
        </w:rPr>
      </w:pPr>
    </w:p>
    <w:p w14:paraId="4A8521EC" w14:textId="77777777" w:rsidR="003B314F" w:rsidRDefault="003B314F">
      <w:pPr>
        <w:pStyle w:val="NoSpacing"/>
        <w:rPr>
          <w:vanish/>
        </w:rPr>
      </w:pPr>
    </w:p>
    <w:p w14:paraId="707340DC" w14:textId="77777777" w:rsidR="003B314F" w:rsidRDefault="003B314F">
      <w:pPr>
        <w:pStyle w:val="NoSpacing"/>
        <w:rPr>
          <w:vanish/>
        </w:rPr>
      </w:pPr>
    </w:p>
    <w:p w14:paraId="108C27DE" w14:textId="77777777" w:rsidR="003B314F" w:rsidRDefault="003B314F">
      <w:pPr>
        <w:pStyle w:val="NoSpacing"/>
        <w:rPr>
          <w:vanish/>
        </w:rPr>
      </w:pPr>
    </w:p>
    <w:p w14:paraId="6BE23182" w14:textId="77777777" w:rsidR="003B314F" w:rsidRDefault="003B314F">
      <w:pPr>
        <w:pStyle w:val="NoSpacing"/>
        <w:rPr>
          <w:vanish/>
        </w:rPr>
      </w:pPr>
    </w:p>
    <w:p w14:paraId="5F923B77" w14:textId="77777777" w:rsidR="003B314F" w:rsidRDefault="003B314F">
      <w:pPr>
        <w:pStyle w:val="NoSpacing"/>
      </w:pPr>
    </w:p>
    <w:p w14:paraId="08002C29" w14:textId="77777777" w:rsidR="003B314F" w:rsidRDefault="003B314F">
      <w:pPr>
        <w:pStyle w:val="NoSpacing"/>
        <w:rPr>
          <w:vanish/>
        </w:rPr>
      </w:pPr>
    </w:p>
    <w:p w14:paraId="09AAD1E7" w14:textId="77777777" w:rsidR="003B314F" w:rsidRDefault="003B314F">
      <w:pPr>
        <w:pStyle w:val="NoSpacing"/>
        <w:rPr>
          <w:vanish/>
        </w:rPr>
      </w:pPr>
    </w:p>
    <w:p w14:paraId="79433673" w14:textId="77777777" w:rsidR="003B314F" w:rsidRDefault="003B314F">
      <w:pPr>
        <w:pStyle w:val="NoSpacing"/>
        <w:rPr>
          <w:vanish/>
        </w:rPr>
      </w:pPr>
    </w:p>
    <w:p w14:paraId="228CC813" w14:textId="77777777" w:rsidR="003B314F" w:rsidRDefault="003B314F">
      <w:pPr>
        <w:pStyle w:val="NoSpacing"/>
        <w:rPr>
          <w:vanish/>
        </w:rPr>
      </w:pPr>
    </w:p>
    <w:p w14:paraId="0DE442C5" w14:textId="77777777" w:rsidR="003B314F" w:rsidRDefault="003B314F">
      <w:pPr>
        <w:pStyle w:val="NoSpacing"/>
        <w:rPr>
          <w:vanish/>
        </w:rPr>
      </w:pPr>
    </w:p>
    <w:p w14:paraId="08E22615" w14:textId="77777777" w:rsidR="003B314F" w:rsidRDefault="003B314F">
      <w:pPr>
        <w:pStyle w:val="NoSpacing"/>
        <w:rPr>
          <w:vanish/>
        </w:rPr>
      </w:pPr>
    </w:p>
    <w:p w14:paraId="66DBB50A" w14:textId="77777777" w:rsidR="003B314F" w:rsidRDefault="003B314F">
      <w:pPr>
        <w:pStyle w:val="NoSpacing"/>
        <w:rPr>
          <w:vanish/>
        </w:rPr>
      </w:pPr>
    </w:p>
    <w:p w14:paraId="15BD306E" w14:textId="77777777" w:rsidR="003B314F" w:rsidRDefault="003B314F">
      <w:pPr>
        <w:pStyle w:val="NoSpacing"/>
        <w:rPr>
          <w:vanish/>
        </w:rPr>
      </w:pPr>
    </w:p>
    <w:p w14:paraId="15F79FBD" w14:textId="77777777" w:rsidR="003B314F" w:rsidRDefault="003B314F">
      <w:pPr>
        <w:pStyle w:val="NoSpacing"/>
        <w:rPr>
          <w:vanish/>
        </w:rPr>
      </w:pPr>
    </w:p>
    <w:p w14:paraId="57B7DCD7" w14:textId="77777777" w:rsidR="003B314F" w:rsidRDefault="003B314F">
      <w:pPr>
        <w:pStyle w:val="NoSpacing"/>
        <w:rPr>
          <w:vanish/>
        </w:rPr>
      </w:pPr>
    </w:p>
    <w:p w14:paraId="43A01360" w14:textId="77777777" w:rsidR="003B314F" w:rsidRDefault="003B314F">
      <w:pPr>
        <w:keepNext/>
        <w:widowControl w:val="0"/>
        <w:spacing w:after="0" w:line="240" w:lineRule="auto"/>
        <w:rPr>
          <w:b/>
          <w:vanish/>
          <w:sz w:val="24"/>
          <w:szCs w:val="24"/>
        </w:rPr>
      </w:pPr>
    </w:p>
    <w:p w14:paraId="6F141999" w14:textId="77777777" w:rsidR="003B314F" w:rsidRDefault="003B314F">
      <w:pPr>
        <w:pStyle w:val="NoSpacing"/>
        <w:rPr>
          <w:vanish/>
        </w:rPr>
      </w:pPr>
    </w:p>
    <w:p w14:paraId="7126E69C" w14:textId="77777777" w:rsidR="003B314F" w:rsidRDefault="003B314F">
      <w:pPr>
        <w:pStyle w:val="NoSpacing"/>
        <w:rPr>
          <w:vanish/>
        </w:rPr>
      </w:pPr>
    </w:p>
    <w:p w14:paraId="7C69DB64" w14:textId="77777777" w:rsidR="003B314F" w:rsidRDefault="003B314F">
      <w:pPr>
        <w:pStyle w:val="NoSpacing"/>
        <w:rPr>
          <w:vanish/>
        </w:rPr>
      </w:pPr>
    </w:p>
    <w:p w14:paraId="04127AC0" w14:textId="77777777" w:rsidR="003B314F" w:rsidRDefault="003B314F">
      <w:pPr>
        <w:pStyle w:val="NoSpacing"/>
        <w:rPr>
          <w:vanish/>
        </w:rPr>
      </w:pPr>
    </w:p>
    <w:p w14:paraId="53FBCF1F" w14:textId="77777777" w:rsidR="003B314F" w:rsidRDefault="003B314F">
      <w:pPr>
        <w:pStyle w:val="NoSpacing"/>
        <w:rPr>
          <w:vanish/>
        </w:rPr>
      </w:pPr>
    </w:p>
    <w:p w14:paraId="7E45BB04" w14:textId="77777777" w:rsidR="003B314F" w:rsidRDefault="003B314F">
      <w:pPr>
        <w:pStyle w:val="NoSpacing"/>
        <w:rPr>
          <w:vanish/>
        </w:rPr>
      </w:pPr>
    </w:p>
    <w:p w14:paraId="542471BA" w14:textId="77777777" w:rsidR="003B314F" w:rsidRDefault="003B314F">
      <w:pPr>
        <w:pStyle w:val="NoSpacing"/>
        <w:rPr>
          <w:vanish/>
        </w:rPr>
      </w:pPr>
    </w:p>
    <w:p w14:paraId="152BCE5B" w14:textId="77777777" w:rsidR="003B314F" w:rsidRDefault="003B314F">
      <w:pPr>
        <w:pStyle w:val="NoSpacing"/>
        <w:rPr>
          <w:vanish/>
        </w:rPr>
      </w:pPr>
    </w:p>
    <w:p w14:paraId="4C982E1B" w14:textId="77777777" w:rsidR="003B314F" w:rsidRDefault="003B314F">
      <w:pPr>
        <w:pStyle w:val="NoSpacing"/>
        <w:rPr>
          <w:vanish/>
        </w:rPr>
      </w:pPr>
    </w:p>
    <w:p w14:paraId="052DB2BB" w14:textId="77777777" w:rsidR="003B314F" w:rsidRDefault="003B314F">
      <w:pPr>
        <w:pStyle w:val="NoSpacing"/>
        <w:rPr>
          <w:vanish/>
        </w:rPr>
      </w:pPr>
    </w:p>
    <w:p w14:paraId="452E5925" w14:textId="77777777" w:rsidR="003B314F" w:rsidRDefault="003B314F">
      <w:pPr>
        <w:pStyle w:val="NoSpacing"/>
        <w:rPr>
          <w:vanish/>
        </w:rPr>
      </w:pPr>
    </w:p>
    <w:p w14:paraId="1E1EB689" w14:textId="77777777" w:rsidR="003B314F" w:rsidRDefault="003B314F">
      <w:pPr>
        <w:pStyle w:val="NoSpacing"/>
        <w:rPr>
          <w:vanish/>
        </w:rPr>
      </w:pPr>
    </w:p>
    <w:p w14:paraId="1B4D744C" w14:textId="77777777" w:rsidR="003B314F" w:rsidRDefault="003B314F">
      <w:pPr>
        <w:pStyle w:val="NoSpacing"/>
        <w:rPr>
          <w:vanish/>
        </w:rPr>
      </w:pPr>
    </w:p>
    <w:p w14:paraId="057348E0" w14:textId="77777777" w:rsidR="003B314F" w:rsidRDefault="003B314F">
      <w:pPr>
        <w:pStyle w:val="NoSpacing"/>
        <w:rPr>
          <w:vanish/>
        </w:rPr>
      </w:pPr>
    </w:p>
    <w:p w14:paraId="32BF74DF" w14:textId="77777777" w:rsidR="003B314F" w:rsidRDefault="003B314F">
      <w:pPr>
        <w:pStyle w:val="NoSpacing"/>
        <w:rPr>
          <w:vanish/>
        </w:rPr>
      </w:pPr>
    </w:p>
    <w:p w14:paraId="75F34B07" w14:textId="77777777" w:rsidR="003B314F" w:rsidRDefault="003B314F">
      <w:pPr>
        <w:pStyle w:val="NoSpacing"/>
        <w:rPr>
          <w:vanish/>
        </w:rPr>
      </w:pPr>
    </w:p>
    <w:p w14:paraId="11923858" w14:textId="77777777" w:rsidR="003B314F" w:rsidRDefault="003B314F">
      <w:pPr>
        <w:pStyle w:val="NoSpacing"/>
        <w:rPr>
          <w:vanish/>
        </w:rPr>
      </w:pPr>
    </w:p>
    <w:p w14:paraId="3188318E" w14:textId="77777777" w:rsidR="003B314F" w:rsidRDefault="003B314F">
      <w:pPr>
        <w:pStyle w:val="NoSpacing"/>
        <w:rPr>
          <w:vanish/>
        </w:rPr>
      </w:pPr>
    </w:p>
    <w:p w14:paraId="50E1E728" w14:textId="77777777" w:rsidR="003B314F" w:rsidRDefault="003B314F">
      <w:pPr>
        <w:pStyle w:val="NoSpacing"/>
        <w:rPr>
          <w:vanish/>
        </w:rPr>
      </w:pPr>
    </w:p>
    <w:p w14:paraId="056DC9D1" w14:textId="77777777" w:rsidR="003B314F" w:rsidRDefault="003B314F">
      <w:pPr>
        <w:pStyle w:val="NoSpacing"/>
        <w:rPr>
          <w:vanish/>
        </w:rPr>
      </w:pPr>
    </w:p>
    <w:p w14:paraId="5FE41A0F" w14:textId="77777777" w:rsidR="003B314F" w:rsidRDefault="003B314F">
      <w:pPr>
        <w:pStyle w:val="NoSpacing"/>
        <w:rPr>
          <w:vanish/>
        </w:rPr>
      </w:pPr>
    </w:p>
    <w:p w14:paraId="4CC8A80F" w14:textId="77777777" w:rsidR="003B314F" w:rsidRDefault="003B314F">
      <w:pPr>
        <w:pStyle w:val="NoSpacing"/>
        <w:rPr>
          <w:vanish/>
        </w:rPr>
      </w:pPr>
    </w:p>
    <w:p w14:paraId="48E435E5" w14:textId="77777777" w:rsidR="003B314F" w:rsidRDefault="003B314F">
      <w:pPr>
        <w:pStyle w:val="NoSpacing"/>
        <w:rPr>
          <w:vanish/>
        </w:rPr>
      </w:pPr>
    </w:p>
    <w:p w14:paraId="75F461FD" w14:textId="77777777" w:rsidR="003B314F" w:rsidRDefault="003B314F">
      <w:pPr>
        <w:keepNext/>
        <w:widowControl w:val="0"/>
        <w:rPr>
          <w:rFonts w:asciiTheme="minorHAnsi" w:hAnsiTheme="minorHAnsi"/>
          <w:b/>
          <w:sz w:val="20"/>
          <w:szCs w:val="2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87"/>
        <w:gridCol w:w="4673"/>
      </w:tblGrid>
      <w:tr w:rsidR="003B314F" w14:paraId="6F9BD9CE" w14:textId="77777777">
        <w:trPr>
          <w:cantSplit/>
        </w:trPr>
        <w:tc>
          <w:tcPr>
            <w:tcW w:w="5000" w:type="pct"/>
            <w:gridSpan w:val="2"/>
            <w:tcBorders>
              <w:top w:val="nil"/>
              <w:left w:val="nil"/>
              <w:bottom w:val="single" w:sz="4" w:space="0" w:color="auto"/>
              <w:right w:val="nil"/>
            </w:tcBorders>
          </w:tcPr>
          <w:p w14:paraId="3B6011E9" w14:textId="77777777" w:rsidR="003B314F" w:rsidRDefault="001764E9">
            <w:pPr>
              <w:spacing w:after="0"/>
              <w:rPr>
                <w:b/>
              </w:rPr>
            </w:pPr>
            <w:r>
              <w:rPr>
                <w:b/>
              </w:rPr>
              <w:t>Describe the clients assisted (including the racial and/or ethnicity of clients assisted with ESG)</w:t>
            </w:r>
          </w:p>
        </w:tc>
      </w:tr>
      <w:tr w:rsidR="003B314F" w14:paraId="1FE892B1" w14:textId="77777777">
        <w:trPr>
          <w:cantSplit/>
          <w:hidden/>
        </w:trPr>
        <w:tc>
          <w:tcPr>
            <w:tcW w:w="2504" w:type="pct"/>
            <w:tcBorders>
              <w:top w:val="single" w:sz="4" w:space="0" w:color="auto"/>
            </w:tcBorders>
          </w:tcPr>
          <w:p w14:paraId="48FF9C96" w14:textId="77777777" w:rsidR="003B314F" w:rsidRDefault="003B314F">
            <w:pPr>
              <w:widowControl w:val="0"/>
              <w:spacing w:after="0" w:line="240" w:lineRule="auto"/>
              <w:rPr>
                <w:vanish/>
              </w:rPr>
            </w:pPr>
          </w:p>
        </w:tc>
        <w:tc>
          <w:tcPr>
            <w:tcW w:w="2496" w:type="pct"/>
            <w:tcBorders>
              <w:top w:val="single" w:sz="4" w:space="0" w:color="auto"/>
            </w:tcBorders>
          </w:tcPr>
          <w:p w14:paraId="1126FDF0" w14:textId="77777777" w:rsidR="003B314F" w:rsidRDefault="001764E9">
            <w:pPr>
              <w:spacing w:after="0"/>
              <w:jc w:val="center"/>
              <w:rPr>
                <w:b/>
              </w:rPr>
            </w:pPr>
            <w:r>
              <w:rPr>
                <w:b/>
              </w:rPr>
              <w:t>HESG</w:t>
            </w:r>
          </w:p>
        </w:tc>
      </w:tr>
      <w:tr w:rsidR="003B314F" w14:paraId="2B52DB49" w14:textId="77777777">
        <w:trPr>
          <w:cantSplit/>
        </w:trPr>
        <w:tc>
          <w:tcPr>
            <w:tcW w:w="4803" w:type="dxa"/>
            <w:vAlign w:val="bottom"/>
          </w:tcPr>
          <w:p w14:paraId="3850541D" w14:textId="77777777" w:rsidR="003B314F" w:rsidRDefault="001764E9">
            <w:pPr>
              <w:spacing w:beforeAutospacing="1" w:afterAutospacing="1"/>
            </w:pPr>
            <w:r>
              <w:rPr>
                <w:color w:val="000000"/>
              </w:rPr>
              <w:t>American Indian, Alaska Native, or Indigenous</w:t>
            </w:r>
          </w:p>
        </w:tc>
        <w:tc>
          <w:tcPr>
            <w:tcW w:w="4787" w:type="dxa"/>
            <w:vAlign w:val="bottom"/>
          </w:tcPr>
          <w:p w14:paraId="7CB79EC5" w14:textId="77777777" w:rsidR="003B314F" w:rsidRDefault="001764E9">
            <w:pPr>
              <w:spacing w:beforeAutospacing="1" w:afterAutospacing="1"/>
              <w:jc w:val="right"/>
            </w:pPr>
            <w:r>
              <w:rPr>
                <w:color w:val="000000"/>
              </w:rPr>
              <w:t>0</w:t>
            </w:r>
          </w:p>
        </w:tc>
      </w:tr>
      <w:tr w:rsidR="003B314F" w14:paraId="1F0E3BBB" w14:textId="77777777">
        <w:trPr>
          <w:cantSplit/>
        </w:trPr>
        <w:tc>
          <w:tcPr>
            <w:tcW w:w="4803" w:type="dxa"/>
            <w:vAlign w:val="bottom"/>
          </w:tcPr>
          <w:p w14:paraId="24B352C4" w14:textId="77777777" w:rsidR="003B314F" w:rsidRDefault="001764E9">
            <w:pPr>
              <w:spacing w:beforeAutospacing="1" w:afterAutospacing="1"/>
            </w:pPr>
            <w:r>
              <w:rPr>
                <w:color w:val="000000"/>
              </w:rPr>
              <w:t>Asian or Asian American</w:t>
            </w:r>
          </w:p>
        </w:tc>
        <w:tc>
          <w:tcPr>
            <w:tcW w:w="4787" w:type="dxa"/>
            <w:vAlign w:val="bottom"/>
          </w:tcPr>
          <w:p w14:paraId="0E7AFB7A" w14:textId="77777777" w:rsidR="003B314F" w:rsidRDefault="001764E9">
            <w:pPr>
              <w:spacing w:beforeAutospacing="1" w:afterAutospacing="1"/>
              <w:jc w:val="right"/>
            </w:pPr>
            <w:r>
              <w:rPr>
                <w:color w:val="000000"/>
              </w:rPr>
              <w:t>0</w:t>
            </w:r>
          </w:p>
        </w:tc>
      </w:tr>
      <w:tr w:rsidR="003B314F" w14:paraId="42663F69" w14:textId="77777777">
        <w:trPr>
          <w:cantSplit/>
        </w:trPr>
        <w:tc>
          <w:tcPr>
            <w:tcW w:w="4803" w:type="dxa"/>
            <w:vAlign w:val="bottom"/>
          </w:tcPr>
          <w:p w14:paraId="0016488F" w14:textId="77777777" w:rsidR="003B314F" w:rsidRDefault="001764E9">
            <w:pPr>
              <w:spacing w:beforeAutospacing="1" w:afterAutospacing="1"/>
            </w:pPr>
            <w:r>
              <w:rPr>
                <w:color w:val="000000"/>
              </w:rPr>
              <w:t>Black, African American, or African</w:t>
            </w:r>
          </w:p>
        </w:tc>
        <w:tc>
          <w:tcPr>
            <w:tcW w:w="4787" w:type="dxa"/>
            <w:vAlign w:val="bottom"/>
          </w:tcPr>
          <w:p w14:paraId="71EA3E55" w14:textId="77777777" w:rsidR="003B314F" w:rsidRDefault="001764E9">
            <w:pPr>
              <w:spacing w:beforeAutospacing="1" w:afterAutospacing="1"/>
              <w:jc w:val="right"/>
            </w:pPr>
            <w:r>
              <w:rPr>
                <w:color w:val="000000"/>
              </w:rPr>
              <w:t>0</w:t>
            </w:r>
          </w:p>
        </w:tc>
      </w:tr>
      <w:tr w:rsidR="003B314F" w14:paraId="6DE4B4F4" w14:textId="77777777">
        <w:trPr>
          <w:cantSplit/>
        </w:trPr>
        <w:tc>
          <w:tcPr>
            <w:tcW w:w="4803" w:type="dxa"/>
            <w:vAlign w:val="bottom"/>
          </w:tcPr>
          <w:p w14:paraId="679B826C" w14:textId="77777777" w:rsidR="003B314F" w:rsidRDefault="001764E9">
            <w:pPr>
              <w:spacing w:beforeAutospacing="1" w:afterAutospacing="1"/>
            </w:pPr>
            <w:r>
              <w:rPr>
                <w:color w:val="000000"/>
              </w:rPr>
              <w:t>Hispanic/Latina/e/o</w:t>
            </w:r>
          </w:p>
        </w:tc>
        <w:tc>
          <w:tcPr>
            <w:tcW w:w="4787" w:type="dxa"/>
            <w:vAlign w:val="bottom"/>
          </w:tcPr>
          <w:p w14:paraId="53E75CEC" w14:textId="77777777" w:rsidR="003B314F" w:rsidRDefault="001764E9">
            <w:pPr>
              <w:spacing w:beforeAutospacing="1" w:afterAutospacing="1"/>
              <w:jc w:val="right"/>
            </w:pPr>
            <w:r>
              <w:rPr>
                <w:color w:val="000000"/>
              </w:rPr>
              <w:t>0</w:t>
            </w:r>
          </w:p>
        </w:tc>
      </w:tr>
      <w:tr w:rsidR="003B314F" w14:paraId="4EC6B454" w14:textId="77777777">
        <w:trPr>
          <w:cantSplit/>
        </w:trPr>
        <w:tc>
          <w:tcPr>
            <w:tcW w:w="4803" w:type="dxa"/>
            <w:vAlign w:val="bottom"/>
          </w:tcPr>
          <w:p w14:paraId="79FEF211" w14:textId="77777777" w:rsidR="003B314F" w:rsidRDefault="001764E9">
            <w:pPr>
              <w:spacing w:beforeAutospacing="1" w:afterAutospacing="1"/>
            </w:pPr>
            <w:r>
              <w:rPr>
                <w:color w:val="000000"/>
              </w:rPr>
              <w:t>Middle Eastern or North African</w:t>
            </w:r>
          </w:p>
        </w:tc>
        <w:tc>
          <w:tcPr>
            <w:tcW w:w="4787" w:type="dxa"/>
            <w:vAlign w:val="bottom"/>
          </w:tcPr>
          <w:p w14:paraId="44997913" w14:textId="77777777" w:rsidR="003B314F" w:rsidRDefault="001764E9">
            <w:pPr>
              <w:spacing w:beforeAutospacing="1" w:afterAutospacing="1"/>
              <w:jc w:val="right"/>
            </w:pPr>
            <w:r>
              <w:rPr>
                <w:color w:val="000000"/>
              </w:rPr>
              <w:t>0</w:t>
            </w:r>
          </w:p>
        </w:tc>
      </w:tr>
      <w:tr w:rsidR="003B314F" w14:paraId="66C99460" w14:textId="77777777">
        <w:trPr>
          <w:cantSplit/>
        </w:trPr>
        <w:tc>
          <w:tcPr>
            <w:tcW w:w="4803" w:type="dxa"/>
            <w:vAlign w:val="bottom"/>
          </w:tcPr>
          <w:p w14:paraId="3800DFF8" w14:textId="77777777" w:rsidR="003B314F" w:rsidRDefault="001764E9">
            <w:pPr>
              <w:spacing w:beforeAutospacing="1" w:afterAutospacing="1"/>
            </w:pPr>
            <w:r>
              <w:rPr>
                <w:color w:val="000000"/>
              </w:rPr>
              <w:t>Native Hawaiian or Pacific Islander</w:t>
            </w:r>
          </w:p>
        </w:tc>
        <w:tc>
          <w:tcPr>
            <w:tcW w:w="4787" w:type="dxa"/>
            <w:vAlign w:val="bottom"/>
          </w:tcPr>
          <w:p w14:paraId="149D04B0" w14:textId="77777777" w:rsidR="003B314F" w:rsidRDefault="001764E9">
            <w:pPr>
              <w:spacing w:beforeAutospacing="1" w:afterAutospacing="1"/>
              <w:jc w:val="right"/>
            </w:pPr>
            <w:r>
              <w:rPr>
                <w:color w:val="000000"/>
              </w:rPr>
              <w:t>0</w:t>
            </w:r>
          </w:p>
        </w:tc>
      </w:tr>
      <w:tr w:rsidR="003B314F" w14:paraId="18D7E3C0" w14:textId="77777777">
        <w:trPr>
          <w:cantSplit/>
        </w:trPr>
        <w:tc>
          <w:tcPr>
            <w:tcW w:w="4803" w:type="dxa"/>
            <w:vAlign w:val="bottom"/>
          </w:tcPr>
          <w:p w14:paraId="5E4E08CE" w14:textId="77777777" w:rsidR="003B314F" w:rsidRDefault="001764E9">
            <w:pPr>
              <w:spacing w:beforeAutospacing="1" w:afterAutospacing="1"/>
            </w:pPr>
            <w:r>
              <w:rPr>
                <w:color w:val="000000"/>
              </w:rPr>
              <w:t>White</w:t>
            </w:r>
          </w:p>
        </w:tc>
        <w:tc>
          <w:tcPr>
            <w:tcW w:w="4787" w:type="dxa"/>
            <w:vAlign w:val="bottom"/>
          </w:tcPr>
          <w:p w14:paraId="72B4B02F" w14:textId="77777777" w:rsidR="003B314F" w:rsidRDefault="001764E9">
            <w:pPr>
              <w:spacing w:beforeAutospacing="1" w:afterAutospacing="1"/>
              <w:jc w:val="right"/>
            </w:pPr>
            <w:r>
              <w:rPr>
                <w:color w:val="000000"/>
              </w:rPr>
              <w:t>0</w:t>
            </w:r>
          </w:p>
        </w:tc>
      </w:tr>
      <w:tr w:rsidR="003B314F" w14:paraId="60E5A635" w14:textId="77777777">
        <w:trPr>
          <w:cantSplit/>
        </w:trPr>
        <w:tc>
          <w:tcPr>
            <w:tcW w:w="4803" w:type="dxa"/>
            <w:vAlign w:val="bottom"/>
          </w:tcPr>
          <w:p w14:paraId="2D490D26" w14:textId="77777777" w:rsidR="003B314F" w:rsidRDefault="001764E9">
            <w:pPr>
              <w:spacing w:beforeAutospacing="1" w:afterAutospacing="1"/>
            </w:pPr>
            <w:r>
              <w:rPr>
                <w:color w:val="000000"/>
              </w:rPr>
              <w:t>Multiracial</w:t>
            </w:r>
          </w:p>
        </w:tc>
        <w:tc>
          <w:tcPr>
            <w:tcW w:w="4787" w:type="dxa"/>
            <w:vAlign w:val="bottom"/>
          </w:tcPr>
          <w:p w14:paraId="668A40D2" w14:textId="77777777" w:rsidR="003B314F" w:rsidRDefault="001764E9">
            <w:pPr>
              <w:spacing w:beforeAutospacing="1" w:afterAutospacing="1"/>
              <w:jc w:val="right"/>
            </w:pPr>
            <w:r>
              <w:rPr>
                <w:color w:val="000000"/>
              </w:rPr>
              <w:t>0</w:t>
            </w:r>
          </w:p>
        </w:tc>
      </w:tr>
      <w:tr w:rsidR="003B314F" w14:paraId="05E9D497" w14:textId="77777777">
        <w:trPr>
          <w:cantSplit/>
        </w:trPr>
        <w:tc>
          <w:tcPr>
            <w:tcW w:w="4803" w:type="dxa"/>
            <w:vAlign w:val="bottom"/>
          </w:tcPr>
          <w:p w14:paraId="65262B00" w14:textId="77777777" w:rsidR="003B314F" w:rsidRDefault="001764E9">
            <w:pPr>
              <w:spacing w:beforeAutospacing="1" w:afterAutospacing="1"/>
            </w:pPr>
            <w:r>
              <w:rPr>
                <w:color w:val="000000"/>
              </w:rPr>
              <w:t>Client doesn't know</w:t>
            </w:r>
          </w:p>
        </w:tc>
        <w:tc>
          <w:tcPr>
            <w:tcW w:w="4787" w:type="dxa"/>
            <w:vAlign w:val="bottom"/>
          </w:tcPr>
          <w:p w14:paraId="044C807C" w14:textId="77777777" w:rsidR="003B314F" w:rsidRDefault="001764E9">
            <w:pPr>
              <w:spacing w:beforeAutospacing="1" w:afterAutospacing="1"/>
              <w:jc w:val="right"/>
            </w:pPr>
            <w:r>
              <w:rPr>
                <w:color w:val="000000"/>
              </w:rPr>
              <w:t>0</w:t>
            </w:r>
          </w:p>
        </w:tc>
      </w:tr>
      <w:tr w:rsidR="003B314F" w14:paraId="39D74703" w14:textId="77777777">
        <w:trPr>
          <w:cantSplit/>
        </w:trPr>
        <w:tc>
          <w:tcPr>
            <w:tcW w:w="4803" w:type="dxa"/>
            <w:vAlign w:val="bottom"/>
          </w:tcPr>
          <w:p w14:paraId="768D5987" w14:textId="77777777" w:rsidR="003B314F" w:rsidRDefault="001764E9">
            <w:pPr>
              <w:spacing w:beforeAutospacing="1" w:afterAutospacing="1"/>
            </w:pPr>
            <w:r>
              <w:rPr>
                <w:color w:val="000000"/>
              </w:rPr>
              <w:t>Client prefers not to answer</w:t>
            </w:r>
          </w:p>
        </w:tc>
        <w:tc>
          <w:tcPr>
            <w:tcW w:w="4787" w:type="dxa"/>
            <w:vAlign w:val="bottom"/>
          </w:tcPr>
          <w:p w14:paraId="27B0847C" w14:textId="77777777" w:rsidR="003B314F" w:rsidRDefault="001764E9">
            <w:pPr>
              <w:spacing w:beforeAutospacing="1" w:afterAutospacing="1"/>
              <w:jc w:val="right"/>
            </w:pPr>
            <w:r>
              <w:rPr>
                <w:color w:val="000000"/>
              </w:rPr>
              <w:t>0</w:t>
            </w:r>
          </w:p>
        </w:tc>
      </w:tr>
      <w:tr w:rsidR="003B314F" w14:paraId="16D7F69C" w14:textId="77777777">
        <w:trPr>
          <w:cantSplit/>
        </w:trPr>
        <w:tc>
          <w:tcPr>
            <w:tcW w:w="4803" w:type="dxa"/>
            <w:vAlign w:val="bottom"/>
          </w:tcPr>
          <w:p w14:paraId="12CC2040" w14:textId="77777777" w:rsidR="003B314F" w:rsidRDefault="001764E9">
            <w:pPr>
              <w:spacing w:beforeAutospacing="1" w:afterAutospacing="1"/>
            </w:pPr>
            <w:r>
              <w:rPr>
                <w:color w:val="000000"/>
              </w:rPr>
              <w:t>Data not collected</w:t>
            </w:r>
          </w:p>
        </w:tc>
        <w:tc>
          <w:tcPr>
            <w:tcW w:w="4787" w:type="dxa"/>
            <w:vAlign w:val="bottom"/>
          </w:tcPr>
          <w:p w14:paraId="3BFDE8C7" w14:textId="77777777" w:rsidR="003B314F" w:rsidRDefault="001764E9">
            <w:pPr>
              <w:spacing w:beforeAutospacing="1" w:afterAutospacing="1"/>
              <w:jc w:val="right"/>
            </w:pPr>
            <w:r>
              <w:rPr>
                <w:color w:val="000000"/>
              </w:rPr>
              <w:t>0</w:t>
            </w:r>
          </w:p>
        </w:tc>
      </w:tr>
      <w:tr w:rsidR="003B314F" w14:paraId="3BFBE71B" w14:textId="77777777">
        <w:trPr>
          <w:cantSplit/>
        </w:trPr>
        <w:tc>
          <w:tcPr>
            <w:tcW w:w="4803" w:type="dxa"/>
          </w:tcPr>
          <w:p w14:paraId="761C69C1" w14:textId="77777777" w:rsidR="003B314F" w:rsidRDefault="001764E9">
            <w:pPr>
              <w:spacing w:beforeAutospacing="1" w:afterAutospacing="1"/>
            </w:pPr>
            <w:r>
              <w:rPr>
                <w:b/>
                <w:color w:val="000000"/>
              </w:rPr>
              <w:t>Total</w:t>
            </w:r>
          </w:p>
        </w:tc>
        <w:tc>
          <w:tcPr>
            <w:tcW w:w="4787" w:type="dxa"/>
          </w:tcPr>
          <w:p w14:paraId="3B11FBF6" w14:textId="77777777" w:rsidR="003B314F" w:rsidRDefault="001764E9">
            <w:pPr>
              <w:spacing w:beforeAutospacing="1" w:afterAutospacing="1"/>
              <w:jc w:val="right"/>
            </w:pPr>
            <w:r>
              <w:rPr>
                <w:b/>
                <w:color w:val="000000"/>
              </w:rPr>
              <w:t>0</w:t>
            </w:r>
          </w:p>
        </w:tc>
      </w:tr>
    </w:tbl>
    <w:p w14:paraId="49DDCF60" w14:textId="77777777" w:rsidR="003B314F" w:rsidRDefault="003B314F">
      <w:pPr>
        <w:keepNext/>
        <w:widowControl w:val="0"/>
        <w:rPr>
          <w:rFonts w:asciiTheme="minorHAnsi" w:hAnsiTheme="minorHAnsi"/>
          <w:b/>
          <w:sz w:val="20"/>
          <w:szCs w:val="20"/>
        </w:rPr>
      </w:pPr>
    </w:p>
    <w:p w14:paraId="5D69642C" w14:textId="77777777" w:rsidR="003B314F" w:rsidRDefault="001764E9">
      <w:pPr>
        <w:keepNext/>
        <w:widowControl w:val="0"/>
        <w:ind w:firstLine="720"/>
        <w:rPr>
          <w:b/>
          <w:color w:val="000000" w:themeColor="text1"/>
          <w:sz w:val="20"/>
          <w:szCs w:val="20"/>
        </w:rPr>
      </w:pPr>
      <w:r>
        <w:rPr>
          <w:rFonts w:asciiTheme="minorHAnsi" w:hAnsiTheme="minorHAnsi"/>
          <w:b/>
          <w:sz w:val="20"/>
          <w:szCs w:val="20"/>
        </w:rPr>
        <w:t xml:space="preserve">Table </w:t>
      </w:r>
      <w:r>
        <w:rPr>
          <w:rFonts w:asciiTheme="minorHAnsi" w:hAnsiTheme="minorHAnsi"/>
          <w:b/>
          <w:sz w:val="20"/>
          <w:szCs w:val="20"/>
        </w:rPr>
        <w:fldChar w:fldCharType="begin"/>
      </w:r>
      <w:r>
        <w:rPr>
          <w:rFonts w:asciiTheme="minorHAnsi" w:hAnsiTheme="minorHAnsi"/>
          <w:b/>
          <w:sz w:val="20"/>
          <w:szCs w:val="20"/>
        </w:rPr>
        <w:instrText xml:space="preserve"> SEQ Table \* ARABIC </w:instrText>
      </w:r>
      <w:r>
        <w:rPr>
          <w:rFonts w:asciiTheme="minorHAnsi" w:hAnsiTheme="minorHAnsi"/>
          <w:b/>
          <w:sz w:val="20"/>
          <w:szCs w:val="20"/>
        </w:rPr>
        <w:fldChar w:fldCharType="separate"/>
      </w:r>
      <w:r>
        <w:rPr>
          <w:rFonts w:asciiTheme="minorHAnsi" w:hAnsiTheme="minorHAnsi"/>
          <w:b/>
          <w:sz w:val="20"/>
          <w:szCs w:val="20"/>
        </w:rPr>
        <w:t>2</w:t>
      </w:r>
      <w:r>
        <w:rPr>
          <w:rFonts w:asciiTheme="minorHAnsi" w:hAnsiTheme="minorHAnsi"/>
          <w:b/>
          <w:sz w:val="20"/>
          <w:szCs w:val="20"/>
        </w:rPr>
        <w:fldChar w:fldCharType="end"/>
      </w:r>
      <w:r>
        <w:rPr>
          <w:rFonts w:asciiTheme="minorHAnsi" w:hAnsiTheme="minorHAnsi"/>
          <w:b/>
          <w:sz w:val="20"/>
          <w:szCs w:val="20"/>
        </w:rPr>
        <w:t xml:space="preserve"> – Table of assistance to racial and ethnic populations by source of funds</w:t>
      </w:r>
      <w:r>
        <w:rPr>
          <w:b/>
          <w:color w:val="000000" w:themeColor="text1"/>
          <w:sz w:val="20"/>
          <w:szCs w:val="20"/>
        </w:rPr>
        <w:t xml:space="preserve"> </w:t>
      </w:r>
    </w:p>
    <w:p w14:paraId="2F34E512" w14:textId="77777777" w:rsidR="003B314F" w:rsidRDefault="003B314F">
      <w:pPr>
        <w:widowControl w:val="0"/>
        <w:rPr>
          <w:b/>
          <w:sz w:val="24"/>
          <w:szCs w:val="24"/>
        </w:rPr>
      </w:pPr>
    </w:p>
    <w:p w14:paraId="1B44AB66" w14:textId="77777777" w:rsidR="003B314F" w:rsidRDefault="001764E9">
      <w:pPr>
        <w:widowControl w:val="0"/>
        <w:rPr>
          <w:b/>
          <w:sz w:val="24"/>
          <w:szCs w:val="24"/>
        </w:rPr>
      </w:pPr>
      <w:r>
        <w:rPr>
          <w:b/>
          <w:sz w:val="24"/>
          <w:szCs w:val="24"/>
        </w:rPr>
        <w:t>Narrative</w:t>
      </w:r>
    </w:p>
    <w:p w14:paraId="347022F3" w14:textId="77777777" w:rsidR="003B314F" w:rsidRDefault="003B314F">
      <w:pPr>
        <w:widowControl w:val="0"/>
      </w:pPr>
    </w:p>
    <w:p w14:paraId="4CF99546" w14:textId="77777777" w:rsidR="003B314F" w:rsidRDefault="003B314F">
      <w:pPr>
        <w:widowControl w:val="0"/>
      </w:pPr>
    </w:p>
    <w:p w14:paraId="1DE085D5" w14:textId="77777777" w:rsidR="003B314F" w:rsidRDefault="003B314F">
      <w:pPr>
        <w:sectPr w:rsidR="003B314F">
          <w:pgSz w:w="12240" w:h="15840" w:code="1"/>
          <w:pgMar w:top="1440" w:right="1440" w:bottom="1440" w:left="1440" w:header="720" w:footer="720" w:gutter="0"/>
          <w:cols w:space="720"/>
          <w:docGrid w:linePitch="360"/>
        </w:sectPr>
      </w:pPr>
    </w:p>
    <w:bookmarkEnd w:id="0"/>
    <w:p w14:paraId="497B0954" w14:textId="77777777" w:rsidR="003B314F" w:rsidRDefault="001764E9">
      <w:pPr>
        <w:pStyle w:val="Heading2"/>
        <w:rPr>
          <w:rFonts w:ascii="Calibri" w:hAnsi="Calibri"/>
          <w:i w:val="0"/>
        </w:rPr>
      </w:pPr>
      <w:r>
        <w:rPr>
          <w:rFonts w:ascii="Calibri" w:hAnsi="Calibri"/>
          <w:i w:val="0"/>
        </w:rPr>
        <w:lastRenderedPageBreak/>
        <w:t>CR-15 - Resources and Investments 91.520(a)</w:t>
      </w:r>
    </w:p>
    <w:p w14:paraId="1021CA43" w14:textId="77777777" w:rsidR="003B314F" w:rsidRDefault="001764E9">
      <w:pPr>
        <w:keepNext/>
        <w:widowControl w:val="0"/>
        <w:spacing w:after="0" w:line="240" w:lineRule="auto"/>
        <w:rPr>
          <w:b/>
          <w:sz w:val="24"/>
          <w:szCs w:val="24"/>
        </w:rPr>
      </w:pPr>
      <w:r>
        <w:rPr>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2332"/>
        <w:gridCol w:w="2344"/>
        <w:gridCol w:w="2343"/>
      </w:tblGrid>
      <w:tr w:rsidR="003B314F" w14:paraId="540C9926" w14:textId="77777777">
        <w:trPr>
          <w:cantSplit/>
        </w:trPr>
        <w:tc>
          <w:tcPr>
            <w:tcW w:w="2394" w:type="dxa"/>
          </w:tcPr>
          <w:p w14:paraId="7B5931A5" w14:textId="77777777" w:rsidR="003B314F" w:rsidRDefault="001764E9">
            <w:pPr>
              <w:keepNext/>
              <w:widowControl w:val="0"/>
              <w:spacing w:after="0" w:line="240" w:lineRule="auto"/>
              <w:jc w:val="center"/>
              <w:rPr>
                <w:rFonts w:cs="Arial"/>
                <w:b/>
              </w:rPr>
            </w:pPr>
            <w:r>
              <w:rPr>
                <w:rFonts w:cs="Arial"/>
                <w:b/>
              </w:rPr>
              <w:t>Source of Funds</w:t>
            </w:r>
          </w:p>
        </w:tc>
        <w:tc>
          <w:tcPr>
            <w:tcW w:w="2394" w:type="dxa"/>
          </w:tcPr>
          <w:p w14:paraId="27D287D2" w14:textId="77777777" w:rsidR="003B314F" w:rsidRDefault="001764E9">
            <w:pPr>
              <w:keepNext/>
              <w:widowControl w:val="0"/>
              <w:spacing w:after="0" w:line="240" w:lineRule="auto"/>
              <w:jc w:val="center"/>
              <w:rPr>
                <w:rFonts w:cs="Arial"/>
                <w:b/>
              </w:rPr>
            </w:pPr>
            <w:r>
              <w:rPr>
                <w:rFonts w:cs="Arial"/>
                <w:b/>
              </w:rPr>
              <w:t>Source</w:t>
            </w:r>
          </w:p>
        </w:tc>
        <w:tc>
          <w:tcPr>
            <w:tcW w:w="2394" w:type="dxa"/>
          </w:tcPr>
          <w:p w14:paraId="52B146F3" w14:textId="77777777" w:rsidR="003B314F" w:rsidRDefault="001764E9">
            <w:pPr>
              <w:keepNext/>
              <w:spacing w:after="0" w:line="240" w:lineRule="auto"/>
              <w:jc w:val="center"/>
              <w:rPr>
                <w:rFonts w:cs="Arial"/>
                <w:b/>
              </w:rPr>
            </w:pPr>
            <w:r>
              <w:rPr>
                <w:rFonts w:cs="Arial"/>
                <w:b/>
              </w:rPr>
              <w:t>Resources Made Available</w:t>
            </w:r>
          </w:p>
        </w:tc>
        <w:tc>
          <w:tcPr>
            <w:tcW w:w="2394" w:type="dxa"/>
          </w:tcPr>
          <w:p w14:paraId="75FBB2F0" w14:textId="77777777" w:rsidR="003B314F" w:rsidRDefault="001764E9">
            <w:pPr>
              <w:keepNext/>
              <w:widowControl w:val="0"/>
              <w:spacing w:after="0" w:line="240" w:lineRule="auto"/>
              <w:jc w:val="center"/>
              <w:rPr>
                <w:rFonts w:cs="Arial"/>
                <w:b/>
              </w:rPr>
            </w:pPr>
            <w:r>
              <w:rPr>
                <w:rFonts w:cs="Arial"/>
                <w:b/>
              </w:rPr>
              <w:t>Amount Expended During Program Year</w:t>
            </w:r>
          </w:p>
        </w:tc>
      </w:tr>
      <w:tr w:rsidR="003B314F" w14:paraId="77AD5E8A" w14:textId="77777777">
        <w:trPr>
          <w:cantSplit/>
        </w:trPr>
        <w:tc>
          <w:tcPr>
            <w:tcW w:w="0" w:type="auto"/>
            <w:vAlign w:val="bottom"/>
          </w:tcPr>
          <w:p w14:paraId="025C194E" w14:textId="77777777" w:rsidR="003B314F" w:rsidRDefault="001764E9">
            <w:pPr>
              <w:spacing w:beforeAutospacing="1" w:afterAutospacing="1"/>
            </w:pPr>
            <w:r>
              <w:rPr>
                <w:color w:val="000000"/>
              </w:rPr>
              <w:t>CDBG</w:t>
            </w:r>
          </w:p>
        </w:tc>
        <w:tc>
          <w:tcPr>
            <w:tcW w:w="0" w:type="auto"/>
            <w:vAlign w:val="bottom"/>
          </w:tcPr>
          <w:p w14:paraId="2243784A" w14:textId="77777777" w:rsidR="003B314F" w:rsidRDefault="001764E9">
            <w:pPr>
              <w:spacing w:beforeAutospacing="1" w:afterAutospacing="1"/>
            </w:pPr>
            <w:r>
              <w:rPr>
                <w:color w:val="000000"/>
              </w:rPr>
              <w:t>public - federal</w:t>
            </w:r>
          </w:p>
        </w:tc>
        <w:tc>
          <w:tcPr>
            <w:tcW w:w="0" w:type="auto"/>
            <w:vAlign w:val="bottom"/>
          </w:tcPr>
          <w:p w14:paraId="116A7625" w14:textId="77777777" w:rsidR="003B314F" w:rsidRDefault="001764E9">
            <w:pPr>
              <w:spacing w:beforeAutospacing="1" w:afterAutospacing="1"/>
              <w:jc w:val="right"/>
            </w:pPr>
            <w:r>
              <w:rPr>
                <w:color w:val="000000"/>
              </w:rPr>
              <w:t>2,615,366</w:t>
            </w:r>
          </w:p>
        </w:tc>
        <w:tc>
          <w:tcPr>
            <w:tcW w:w="0" w:type="auto"/>
            <w:vAlign w:val="bottom"/>
          </w:tcPr>
          <w:p w14:paraId="3C4329F5" w14:textId="77777777" w:rsidR="003B314F" w:rsidRDefault="001764E9">
            <w:pPr>
              <w:spacing w:beforeAutospacing="1" w:afterAutospacing="1"/>
              <w:jc w:val="right"/>
            </w:pPr>
            <w:r>
              <w:rPr>
                <w:color w:val="000000"/>
              </w:rPr>
              <w:t xml:space="preserve"> </w:t>
            </w:r>
          </w:p>
        </w:tc>
      </w:tr>
      <w:tr w:rsidR="003B314F" w14:paraId="0B5DB65A" w14:textId="77777777">
        <w:trPr>
          <w:cantSplit/>
        </w:trPr>
        <w:tc>
          <w:tcPr>
            <w:tcW w:w="0" w:type="auto"/>
            <w:vAlign w:val="bottom"/>
          </w:tcPr>
          <w:p w14:paraId="5110B95C" w14:textId="77777777" w:rsidR="003B314F" w:rsidRDefault="001764E9">
            <w:pPr>
              <w:spacing w:beforeAutospacing="1" w:afterAutospacing="1"/>
            </w:pPr>
            <w:r>
              <w:rPr>
                <w:color w:val="000000"/>
              </w:rPr>
              <w:t>HOME</w:t>
            </w:r>
          </w:p>
        </w:tc>
        <w:tc>
          <w:tcPr>
            <w:tcW w:w="0" w:type="auto"/>
            <w:vAlign w:val="bottom"/>
          </w:tcPr>
          <w:p w14:paraId="09A3E78D" w14:textId="77777777" w:rsidR="003B314F" w:rsidRDefault="001764E9">
            <w:pPr>
              <w:spacing w:beforeAutospacing="1" w:afterAutospacing="1"/>
            </w:pPr>
            <w:r>
              <w:rPr>
                <w:color w:val="000000"/>
              </w:rPr>
              <w:t>public - federal</w:t>
            </w:r>
          </w:p>
        </w:tc>
        <w:tc>
          <w:tcPr>
            <w:tcW w:w="0" w:type="auto"/>
            <w:vAlign w:val="bottom"/>
          </w:tcPr>
          <w:p w14:paraId="6FF6B9A0" w14:textId="77777777" w:rsidR="003B314F" w:rsidRDefault="001764E9">
            <w:pPr>
              <w:spacing w:beforeAutospacing="1" w:afterAutospacing="1"/>
              <w:jc w:val="right"/>
            </w:pPr>
            <w:r>
              <w:rPr>
                <w:color w:val="000000"/>
              </w:rPr>
              <w:t>637,537</w:t>
            </w:r>
          </w:p>
        </w:tc>
        <w:tc>
          <w:tcPr>
            <w:tcW w:w="0" w:type="auto"/>
            <w:vAlign w:val="bottom"/>
          </w:tcPr>
          <w:p w14:paraId="673C322C" w14:textId="77777777" w:rsidR="003B314F" w:rsidRDefault="001764E9">
            <w:pPr>
              <w:spacing w:beforeAutospacing="1" w:afterAutospacing="1"/>
              <w:jc w:val="right"/>
            </w:pPr>
            <w:r>
              <w:rPr>
                <w:color w:val="000000"/>
              </w:rPr>
              <w:t xml:space="preserve"> </w:t>
            </w:r>
          </w:p>
        </w:tc>
      </w:tr>
      <w:tr w:rsidR="003B314F" w14:paraId="3B46B03A" w14:textId="77777777">
        <w:trPr>
          <w:cantSplit/>
        </w:trPr>
        <w:tc>
          <w:tcPr>
            <w:tcW w:w="0" w:type="auto"/>
            <w:vAlign w:val="bottom"/>
          </w:tcPr>
          <w:p w14:paraId="2529518B" w14:textId="77777777" w:rsidR="003B314F" w:rsidRDefault="001764E9">
            <w:pPr>
              <w:spacing w:beforeAutospacing="1" w:afterAutospacing="1"/>
            </w:pPr>
            <w:r>
              <w:rPr>
                <w:color w:val="000000"/>
              </w:rPr>
              <w:t>ESG</w:t>
            </w:r>
          </w:p>
        </w:tc>
        <w:tc>
          <w:tcPr>
            <w:tcW w:w="0" w:type="auto"/>
            <w:vAlign w:val="bottom"/>
          </w:tcPr>
          <w:p w14:paraId="3D2A19D6" w14:textId="77777777" w:rsidR="003B314F" w:rsidRDefault="001764E9">
            <w:pPr>
              <w:spacing w:beforeAutospacing="1" w:afterAutospacing="1"/>
            </w:pPr>
            <w:r>
              <w:rPr>
                <w:color w:val="000000"/>
              </w:rPr>
              <w:t>public - federal</w:t>
            </w:r>
          </w:p>
        </w:tc>
        <w:tc>
          <w:tcPr>
            <w:tcW w:w="0" w:type="auto"/>
            <w:vAlign w:val="bottom"/>
          </w:tcPr>
          <w:p w14:paraId="132E0681" w14:textId="77777777" w:rsidR="003B314F" w:rsidRDefault="001764E9">
            <w:pPr>
              <w:spacing w:beforeAutospacing="1" w:afterAutospacing="1"/>
              <w:jc w:val="right"/>
            </w:pPr>
            <w:r>
              <w:rPr>
                <w:color w:val="000000"/>
              </w:rPr>
              <w:t>230,712</w:t>
            </w:r>
          </w:p>
        </w:tc>
        <w:tc>
          <w:tcPr>
            <w:tcW w:w="0" w:type="auto"/>
            <w:vAlign w:val="bottom"/>
          </w:tcPr>
          <w:p w14:paraId="67BC3B95" w14:textId="77777777" w:rsidR="003B314F" w:rsidRDefault="001764E9">
            <w:pPr>
              <w:spacing w:beforeAutospacing="1" w:afterAutospacing="1"/>
              <w:jc w:val="right"/>
            </w:pPr>
            <w:r>
              <w:rPr>
                <w:color w:val="000000"/>
              </w:rPr>
              <w:t xml:space="preserve"> </w:t>
            </w:r>
          </w:p>
        </w:tc>
      </w:tr>
    </w:tbl>
    <w:p w14:paraId="21E36688" w14:textId="77777777" w:rsidR="003B314F" w:rsidRDefault="001764E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Resources Made Available</w:t>
      </w:r>
    </w:p>
    <w:p w14:paraId="2BE1317F" w14:textId="77777777" w:rsidR="003B314F" w:rsidRDefault="003B314F">
      <w:pPr>
        <w:spacing w:after="0" w:line="240" w:lineRule="auto"/>
        <w:rPr>
          <w:b/>
          <w:sz w:val="24"/>
          <w:szCs w:val="24"/>
        </w:rPr>
      </w:pPr>
    </w:p>
    <w:p w14:paraId="7934908D" w14:textId="77777777" w:rsidR="003B314F" w:rsidRDefault="001764E9">
      <w:pPr>
        <w:spacing w:after="0" w:line="240" w:lineRule="auto"/>
        <w:rPr>
          <w:b/>
          <w:sz w:val="24"/>
          <w:szCs w:val="24"/>
        </w:rPr>
      </w:pPr>
      <w:r>
        <w:rPr>
          <w:b/>
          <w:sz w:val="24"/>
          <w:szCs w:val="24"/>
        </w:rPr>
        <w:t>Narrative</w:t>
      </w:r>
    </w:p>
    <w:p w14:paraId="709A72FF" w14:textId="77777777" w:rsidR="003B314F" w:rsidRDefault="003B314F">
      <w:pPr>
        <w:spacing w:after="0" w:line="240" w:lineRule="auto"/>
        <w:rPr>
          <w:rFonts w:cs="Arial"/>
        </w:rPr>
      </w:pPr>
    </w:p>
    <w:p w14:paraId="703A918D" w14:textId="77777777" w:rsidR="003B314F" w:rsidRDefault="003B314F">
      <w:pPr>
        <w:spacing w:after="0" w:line="240" w:lineRule="auto"/>
        <w:rPr>
          <w:b/>
          <w:sz w:val="24"/>
          <w:szCs w:val="24"/>
        </w:rPr>
      </w:pPr>
    </w:p>
    <w:p w14:paraId="11EEC43D" w14:textId="77777777" w:rsidR="003B314F" w:rsidRDefault="001764E9">
      <w:pPr>
        <w:keepNext/>
        <w:spacing w:after="0" w:line="240" w:lineRule="auto"/>
        <w:rPr>
          <w:b/>
          <w:sz w:val="24"/>
          <w:szCs w:val="24"/>
        </w:rPr>
      </w:pPr>
      <w:r>
        <w:rPr>
          <w:b/>
          <w:sz w:val="24"/>
          <w:szCs w:val="24"/>
        </w:rPr>
        <w:t>Identify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2034"/>
        <w:gridCol w:w="2034"/>
        <w:gridCol w:w="2041"/>
      </w:tblGrid>
      <w:tr w:rsidR="003B314F" w14:paraId="626C6802" w14:textId="77777777">
        <w:trPr>
          <w:cantSplit/>
        </w:trPr>
        <w:tc>
          <w:tcPr>
            <w:tcW w:w="2394" w:type="dxa"/>
          </w:tcPr>
          <w:p w14:paraId="0FEB0EF0" w14:textId="77777777" w:rsidR="003B314F" w:rsidRDefault="001764E9">
            <w:pPr>
              <w:keepNext/>
              <w:widowControl w:val="0"/>
              <w:spacing w:after="0" w:line="240" w:lineRule="auto"/>
              <w:jc w:val="center"/>
              <w:rPr>
                <w:rFonts w:cs="Arial"/>
                <w:b/>
              </w:rPr>
            </w:pPr>
            <w:r>
              <w:rPr>
                <w:rFonts w:cs="Arial"/>
                <w:b/>
              </w:rPr>
              <w:t>Target Area</w:t>
            </w:r>
          </w:p>
        </w:tc>
        <w:tc>
          <w:tcPr>
            <w:tcW w:w="2394" w:type="dxa"/>
          </w:tcPr>
          <w:p w14:paraId="47A8B832" w14:textId="77777777" w:rsidR="003B314F" w:rsidRDefault="001764E9">
            <w:pPr>
              <w:keepNext/>
              <w:widowControl w:val="0"/>
              <w:spacing w:after="0" w:line="240" w:lineRule="auto"/>
              <w:jc w:val="center"/>
              <w:rPr>
                <w:rFonts w:cs="Arial"/>
                <w:b/>
              </w:rPr>
            </w:pPr>
            <w:r>
              <w:rPr>
                <w:rFonts w:cs="Arial"/>
                <w:b/>
              </w:rPr>
              <w:t>Planned Percentage of Allocation</w:t>
            </w:r>
          </w:p>
        </w:tc>
        <w:tc>
          <w:tcPr>
            <w:tcW w:w="2394" w:type="dxa"/>
          </w:tcPr>
          <w:p w14:paraId="2EAF3A0B" w14:textId="77777777" w:rsidR="003B314F" w:rsidRDefault="001764E9">
            <w:pPr>
              <w:keepNext/>
              <w:spacing w:after="0" w:line="240" w:lineRule="auto"/>
              <w:jc w:val="center"/>
              <w:rPr>
                <w:rFonts w:cs="Arial"/>
                <w:b/>
              </w:rPr>
            </w:pPr>
            <w:r>
              <w:rPr>
                <w:rFonts w:cs="Arial"/>
                <w:b/>
              </w:rPr>
              <w:t>Actual Percentage of Allocation</w:t>
            </w:r>
          </w:p>
        </w:tc>
        <w:tc>
          <w:tcPr>
            <w:tcW w:w="2394" w:type="dxa"/>
          </w:tcPr>
          <w:p w14:paraId="135296B5" w14:textId="77777777" w:rsidR="003B314F" w:rsidRDefault="001764E9">
            <w:pPr>
              <w:keepNext/>
              <w:widowControl w:val="0"/>
              <w:spacing w:after="0" w:line="240" w:lineRule="auto"/>
              <w:jc w:val="center"/>
              <w:rPr>
                <w:rFonts w:cs="Arial"/>
                <w:b/>
              </w:rPr>
            </w:pPr>
            <w:r>
              <w:rPr>
                <w:rFonts w:cs="Arial"/>
                <w:b/>
              </w:rPr>
              <w:t>Narrative Description</w:t>
            </w:r>
          </w:p>
        </w:tc>
      </w:tr>
      <w:tr w:rsidR="003B314F" w14:paraId="201A5A14" w14:textId="77777777">
        <w:trPr>
          <w:cantSplit/>
        </w:trPr>
        <w:tc>
          <w:tcPr>
            <w:tcW w:w="0" w:type="auto"/>
            <w:vAlign w:val="bottom"/>
          </w:tcPr>
          <w:p w14:paraId="73DEEECA" w14:textId="77777777" w:rsidR="003B314F" w:rsidRDefault="001764E9">
            <w:pPr>
              <w:spacing w:beforeAutospacing="1" w:afterAutospacing="1"/>
            </w:pPr>
            <w:r>
              <w:rPr>
                <w:color w:val="000000"/>
              </w:rPr>
              <w:t>FOCUS AREA</w:t>
            </w:r>
          </w:p>
        </w:tc>
        <w:tc>
          <w:tcPr>
            <w:tcW w:w="0" w:type="auto"/>
            <w:vAlign w:val="bottom"/>
          </w:tcPr>
          <w:p w14:paraId="4A7BA1F6" w14:textId="77777777" w:rsidR="003B314F" w:rsidRDefault="001764E9">
            <w:pPr>
              <w:spacing w:beforeAutospacing="1" w:afterAutospacing="1"/>
            </w:pPr>
            <w:r>
              <w:rPr>
                <w:color w:val="000000"/>
              </w:rPr>
              <w:t>97</w:t>
            </w:r>
          </w:p>
        </w:tc>
        <w:tc>
          <w:tcPr>
            <w:tcW w:w="0" w:type="auto"/>
            <w:vAlign w:val="bottom"/>
          </w:tcPr>
          <w:p w14:paraId="04012779" w14:textId="77777777" w:rsidR="003B314F" w:rsidRDefault="001764E9">
            <w:pPr>
              <w:spacing w:beforeAutospacing="1" w:afterAutospacing="1"/>
            </w:pPr>
            <w:r>
              <w:rPr>
                <w:color w:val="000000"/>
              </w:rPr>
              <w:t xml:space="preserve"> </w:t>
            </w:r>
          </w:p>
        </w:tc>
        <w:tc>
          <w:tcPr>
            <w:tcW w:w="0" w:type="auto"/>
            <w:vAlign w:val="bottom"/>
          </w:tcPr>
          <w:p w14:paraId="3B53FCE9" w14:textId="77777777" w:rsidR="003B314F" w:rsidRDefault="001764E9">
            <w:pPr>
              <w:spacing w:beforeAutospacing="1" w:afterAutospacing="1"/>
            </w:pPr>
            <w:r>
              <w:rPr>
                <w:color w:val="000000"/>
              </w:rPr>
              <w:t xml:space="preserve"> </w:t>
            </w:r>
          </w:p>
        </w:tc>
      </w:tr>
      <w:tr w:rsidR="003B314F" w14:paraId="4C3CFBD3" w14:textId="77777777">
        <w:trPr>
          <w:cantSplit/>
        </w:trPr>
        <w:tc>
          <w:tcPr>
            <w:tcW w:w="0" w:type="auto"/>
            <w:vAlign w:val="bottom"/>
          </w:tcPr>
          <w:p w14:paraId="2DFE662B" w14:textId="77777777" w:rsidR="003B314F" w:rsidRDefault="001764E9">
            <w:pPr>
              <w:spacing w:beforeAutospacing="1" w:afterAutospacing="1"/>
            </w:pPr>
            <w:r>
              <w:rPr>
                <w:color w:val="000000"/>
              </w:rPr>
              <w:t>Neighborhood Revitalization Strategy Area</w:t>
            </w:r>
          </w:p>
        </w:tc>
        <w:tc>
          <w:tcPr>
            <w:tcW w:w="0" w:type="auto"/>
            <w:vAlign w:val="bottom"/>
          </w:tcPr>
          <w:p w14:paraId="13A23C3E" w14:textId="77777777" w:rsidR="003B314F" w:rsidRDefault="001764E9">
            <w:pPr>
              <w:spacing w:beforeAutospacing="1" w:afterAutospacing="1"/>
            </w:pPr>
            <w:r>
              <w:rPr>
                <w:color w:val="000000"/>
              </w:rPr>
              <w:t xml:space="preserve"> </w:t>
            </w:r>
          </w:p>
        </w:tc>
        <w:tc>
          <w:tcPr>
            <w:tcW w:w="0" w:type="auto"/>
            <w:vAlign w:val="bottom"/>
          </w:tcPr>
          <w:p w14:paraId="51EDC7FA" w14:textId="77777777" w:rsidR="003B314F" w:rsidRDefault="001764E9">
            <w:pPr>
              <w:spacing w:beforeAutospacing="1" w:afterAutospacing="1"/>
            </w:pPr>
            <w:r>
              <w:rPr>
                <w:color w:val="000000"/>
              </w:rPr>
              <w:t xml:space="preserve"> </w:t>
            </w:r>
          </w:p>
        </w:tc>
        <w:tc>
          <w:tcPr>
            <w:tcW w:w="0" w:type="auto"/>
            <w:vAlign w:val="bottom"/>
          </w:tcPr>
          <w:p w14:paraId="2A1D972A" w14:textId="77777777" w:rsidR="003B314F" w:rsidRDefault="001764E9">
            <w:pPr>
              <w:spacing w:beforeAutospacing="1" w:afterAutospacing="1"/>
            </w:pPr>
            <w:r>
              <w:rPr>
                <w:color w:val="000000"/>
              </w:rPr>
              <w:t xml:space="preserve"> </w:t>
            </w:r>
          </w:p>
        </w:tc>
      </w:tr>
      <w:tr w:rsidR="003B314F" w14:paraId="0920827D" w14:textId="77777777">
        <w:trPr>
          <w:cantSplit/>
        </w:trPr>
        <w:tc>
          <w:tcPr>
            <w:tcW w:w="0" w:type="auto"/>
            <w:vAlign w:val="bottom"/>
          </w:tcPr>
          <w:p w14:paraId="5A95B820" w14:textId="77777777" w:rsidR="003B314F" w:rsidRDefault="001764E9">
            <w:pPr>
              <w:spacing w:beforeAutospacing="1" w:afterAutospacing="1"/>
            </w:pPr>
            <w:r>
              <w:rPr>
                <w:color w:val="000000"/>
              </w:rPr>
              <w:t>NRSA</w:t>
            </w:r>
          </w:p>
        </w:tc>
        <w:tc>
          <w:tcPr>
            <w:tcW w:w="0" w:type="auto"/>
            <w:vAlign w:val="bottom"/>
          </w:tcPr>
          <w:p w14:paraId="3CC581BC" w14:textId="77777777" w:rsidR="003B314F" w:rsidRDefault="001764E9">
            <w:pPr>
              <w:spacing w:beforeAutospacing="1" w:afterAutospacing="1"/>
            </w:pPr>
            <w:r>
              <w:rPr>
                <w:color w:val="000000"/>
              </w:rPr>
              <w:t>3</w:t>
            </w:r>
          </w:p>
        </w:tc>
        <w:tc>
          <w:tcPr>
            <w:tcW w:w="0" w:type="auto"/>
            <w:vAlign w:val="bottom"/>
          </w:tcPr>
          <w:p w14:paraId="000EE889" w14:textId="77777777" w:rsidR="003B314F" w:rsidRDefault="001764E9">
            <w:pPr>
              <w:spacing w:beforeAutospacing="1" w:afterAutospacing="1"/>
            </w:pPr>
            <w:r>
              <w:rPr>
                <w:color w:val="000000"/>
              </w:rPr>
              <w:t xml:space="preserve"> </w:t>
            </w:r>
          </w:p>
        </w:tc>
        <w:tc>
          <w:tcPr>
            <w:tcW w:w="0" w:type="auto"/>
            <w:vAlign w:val="bottom"/>
          </w:tcPr>
          <w:p w14:paraId="56FB7E13" w14:textId="77777777" w:rsidR="003B314F" w:rsidRDefault="001764E9">
            <w:pPr>
              <w:spacing w:beforeAutospacing="1" w:afterAutospacing="1"/>
            </w:pPr>
            <w:r>
              <w:rPr>
                <w:color w:val="000000"/>
              </w:rPr>
              <w:t xml:space="preserve"> </w:t>
            </w:r>
          </w:p>
        </w:tc>
      </w:tr>
    </w:tbl>
    <w:p w14:paraId="3F3A9F85" w14:textId="77777777" w:rsidR="003B314F" w:rsidRDefault="001764E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Identify the geographic distribution and location of investments</w:t>
      </w:r>
    </w:p>
    <w:p w14:paraId="47068E4D" w14:textId="77777777" w:rsidR="003B314F" w:rsidRDefault="003B314F">
      <w:pPr>
        <w:keepNext/>
        <w:widowControl w:val="0"/>
        <w:spacing w:line="204" w:lineRule="auto"/>
        <w:rPr>
          <w:b/>
          <w:sz w:val="24"/>
          <w:szCs w:val="24"/>
        </w:rPr>
      </w:pPr>
    </w:p>
    <w:p w14:paraId="618E09C5" w14:textId="77777777" w:rsidR="003B314F" w:rsidRDefault="001764E9">
      <w:pPr>
        <w:widowControl w:val="0"/>
        <w:spacing w:line="204" w:lineRule="auto"/>
        <w:rPr>
          <w:b/>
          <w:sz w:val="24"/>
          <w:szCs w:val="24"/>
        </w:rPr>
      </w:pPr>
      <w:r>
        <w:rPr>
          <w:b/>
          <w:sz w:val="24"/>
          <w:szCs w:val="24"/>
        </w:rPr>
        <w:t>Narrative</w:t>
      </w:r>
    </w:p>
    <w:p w14:paraId="2119B6B1" w14:textId="77777777" w:rsidR="003B314F" w:rsidRDefault="003B314F">
      <w:pPr>
        <w:widowControl w:val="0"/>
        <w:spacing w:line="204" w:lineRule="auto"/>
        <w:rPr>
          <w:rFonts w:cs="Arial"/>
        </w:rPr>
      </w:pPr>
    </w:p>
    <w:p w14:paraId="72825BE5" w14:textId="77777777" w:rsidR="003B314F" w:rsidRDefault="001764E9">
      <w:pPr>
        <w:pageBreakBefore/>
        <w:widowControl w:val="0"/>
        <w:spacing w:line="240" w:lineRule="auto"/>
        <w:rPr>
          <w:b/>
          <w:sz w:val="24"/>
          <w:szCs w:val="24"/>
        </w:rPr>
      </w:pPr>
      <w:r>
        <w:rPr>
          <w:b/>
          <w:sz w:val="24"/>
          <w:szCs w:val="24"/>
        </w:rPr>
        <w:lastRenderedPageBreak/>
        <w:t>Leveraging</w:t>
      </w:r>
    </w:p>
    <w:p w14:paraId="0E0C57DB" w14:textId="77777777" w:rsidR="003B314F" w:rsidRDefault="001764E9">
      <w:pPr>
        <w:widowControl w:val="0"/>
        <w:spacing w:line="240" w:lineRule="auto"/>
        <w:rPr>
          <w:b/>
          <w:sz w:val="24"/>
          <w:szCs w:val="24"/>
        </w:rPr>
      </w:pPr>
      <w:r>
        <w:rPr>
          <w:b/>
          <w:sz w:val="24"/>
          <w:szCs w:val="24"/>
        </w:rPr>
        <w:t xml:space="preserve">Explain how federal </w:t>
      </w:r>
      <w:proofErr w:type="gramStart"/>
      <w:r>
        <w:rPr>
          <w:b/>
          <w:sz w:val="24"/>
          <w:szCs w:val="24"/>
        </w:rPr>
        <w:t>funds  leveraged</w:t>
      </w:r>
      <w:proofErr w:type="gramEnd"/>
      <w:r>
        <w:rPr>
          <w:b/>
          <w:sz w:val="24"/>
          <w:szCs w:val="24"/>
        </w:rPr>
        <w:t xml:space="preserve"> additional resources (private, state and local funds), including a description of how matching requirements were satisfied, as well as how any publicly owned land or property located within the jurisdiction that were used to address the needs identified in the plan.</w:t>
      </w:r>
    </w:p>
    <w:p w14:paraId="0A93232F" w14:textId="77777777" w:rsidR="003B314F" w:rsidRDefault="001764E9">
      <w:pPr>
        <w:widowControl w:val="0"/>
        <w:spacing w:beforeAutospacing="1" w:afterAutospacing="1"/>
        <w:rPr>
          <w:sz w:val="24"/>
          <w:szCs w:val="24"/>
        </w:rPr>
      </w:pPr>
      <w:r>
        <w:rPr>
          <w:sz w:val="24"/>
          <w:szCs w:val="24"/>
        </w:rPr>
        <w:t>The City of Evansville leveraged federal resources, including CDBG, HOME, and ESG, with local, state, and private funds to maximize impact of housing and community development efforts. Notably, the City allocated $750,000 in 2024 to the Affordable Housing Trust Fund (AHTF), with $500,000 appropriated through Riverboat casino taxes and an additional $250,000 from accrued ARPA interest. These local funds provided gap financing for developers and non-profit housing organizations rehabilitation and new construc</w:t>
      </w:r>
      <w:r>
        <w:rPr>
          <w:sz w:val="24"/>
          <w:szCs w:val="24"/>
        </w:rPr>
        <w:t>tion, as well as emergency home repairs for low-income individuals and households, in alignment with federal goals.</w:t>
      </w:r>
    </w:p>
    <w:p w14:paraId="49B98582" w14:textId="77777777" w:rsidR="003B314F" w:rsidRDefault="001764E9">
      <w:pPr>
        <w:widowControl w:val="0"/>
        <w:spacing w:beforeAutospacing="1" w:afterAutospacing="1"/>
        <w:rPr>
          <w:sz w:val="24"/>
          <w:szCs w:val="24"/>
        </w:rPr>
      </w:pPr>
      <w:r>
        <w:rPr>
          <w:sz w:val="24"/>
          <w:szCs w:val="24"/>
        </w:rPr>
        <w:t>Federal funds were often paired with Low-Income Housing Tax Credits (LIHTC), developer equity, and private grants to complete housing developments.</w:t>
      </w:r>
    </w:p>
    <w:p w14:paraId="6D43B858" w14:textId="77777777" w:rsidR="003B314F" w:rsidRDefault="001764E9">
      <w:pPr>
        <w:widowControl w:val="0"/>
        <w:spacing w:beforeAutospacing="1" w:afterAutospacing="1"/>
        <w:rPr>
          <w:sz w:val="24"/>
          <w:szCs w:val="24"/>
        </w:rPr>
      </w:pPr>
      <w:r>
        <w:rPr>
          <w:sz w:val="24"/>
          <w:szCs w:val="24"/>
        </w:rPr>
        <w:t xml:space="preserve">HOME match requirements have been </w:t>
      </w:r>
      <w:proofErr w:type="gramStart"/>
      <w:r>
        <w:rPr>
          <w:sz w:val="24"/>
          <w:szCs w:val="24"/>
        </w:rPr>
        <w:t>waived</w:t>
      </w:r>
      <w:proofErr w:type="gramEnd"/>
      <w:r>
        <w:rPr>
          <w:sz w:val="24"/>
          <w:szCs w:val="24"/>
        </w:rPr>
        <w:t xml:space="preserve"> by HUD in recent years. However, the City continued to encourage developer matching to stretch available funds and HOME match reports continued to be collected through the 2024 program year.</w:t>
      </w:r>
    </w:p>
    <w:p w14:paraId="5A040C4A" w14:textId="77777777" w:rsidR="003B314F" w:rsidRDefault="001764E9">
      <w:pPr>
        <w:widowControl w:val="0"/>
        <w:spacing w:beforeAutospacing="1" w:afterAutospacing="1"/>
        <w:rPr>
          <w:sz w:val="24"/>
          <w:szCs w:val="24"/>
        </w:rPr>
      </w:pPr>
      <w:r>
        <w:rPr>
          <w:sz w:val="24"/>
          <w:szCs w:val="24"/>
        </w:rPr>
        <w:t xml:space="preserve">Vacant lots owned by the City’s Land Bank were sold to non-profit housing organizations, such as Memorial Community Development Corporation, Habitat for Humanity of Evansville, Community Action Program of Evansville (CAPE), and others at </w:t>
      </w:r>
      <w:proofErr w:type="gramStart"/>
      <w:r>
        <w:rPr>
          <w:sz w:val="24"/>
          <w:szCs w:val="24"/>
        </w:rPr>
        <w:t>greatly-discounted</w:t>
      </w:r>
      <w:proofErr w:type="gramEnd"/>
      <w:r>
        <w:rPr>
          <w:sz w:val="24"/>
          <w:szCs w:val="24"/>
        </w:rPr>
        <w:t xml:space="preserve"> prices, for the construction of affordable housing. This strategy also reduced blight in several neighborhoods and increased property values of neighboring housing, increasing wealth, particularly in lower-income communities.</w:t>
      </w:r>
    </w:p>
    <w:p w14:paraId="68586AB1" w14:textId="77777777" w:rsidR="003B314F" w:rsidRDefault="003B314F">
      <w:pPr>
        <w:widowControl w:val="0"/>
        <w:spacing w:after="0" w:line="240" w:lineRule="auto"/>
        <w:rPr>
          <w:sz w:val="24"/>
          <w:szCs w:val="24"/>
        </w:rPr>
      </w:pPr>
    </w:p>
    <w:p w14:paraId="2301F327" w14:textId="77777777" w:rsidR="003B314F" w:rsidRDefault="003B314F">
      <w:pPr>
        <w:spacing w:after="0" w:line="240" w:lineRule="auto"/>
        <w:rPr>
          <w:b/>
        </w:rPr>
      </w:pPr>
    </w:p>
    <w:p w14:paraId="1CD9D365" w14:textId="77777777" w:rsidR="003B314F" w:rsidRDefault="003B314F">
      <w:pPr>
        <w:widowControl w:val="0"/>
        <w:spacing w:line="204"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3"/>
        <w:gridCol w:w="427"/>
      </w:tblGrid>
      <w:tr w:rsidR="003B314F" w14:paraId="7E39E454" w14:textId="77777777">
        <w:trPr>
          <w:cantSplit/>
          <w:tblHeader/>
        </w:trPr>
        <w:tc>
          <w:tcPr>
            <w:tcW w:w="9576" w:type="dxa"/>
            <w:gridSpan w:val="2"/>
          </w:tcPr>
          <w:p w14:paraId="6B8F9451" w14:textId="77777777" w:rsidR="003B314F" w:rsidRDefault="001764E9">
            <w:pPr>
              <w:keepNext/>
              <w:widowControl w:val="0"/>
              <w:spacing w:after="0" w:line="240" w:lineRule="auto"/>
              <w:jc w:val="center"/>
              <w:rPr>
                <w:rFonts w:cs="Arial"/>
              </w:rPr>
            </w:pPr>
            <w:r>
              <w:rPr>
                <w:b/>
              </w:rPr>
              <w:t>Fiscal Year Summary – HOME Match</w:t>
            </w:r>
          </w:p>
        </w:tc>
      </w:tr>
      <w:tr w:rsidR="003B314F" w14:paraId="5D230A95" w14:textId="77777777">
        <w:trPr>
          <w:cantSplit/>
        </w:trPr>
        <w:tc>
          <w:tcPr>
            <w:tcW w:w="0" w:type="auto"/>
            <w:vAlign w:val="bottom"/>
          </w:tcPr>
          <w:p w14:paraId="0DF962EE" w14:textId="77777777" w:rsidR="003B314F" w:rsidRDefault="001764E9">
            <w:pPr>
              <w:spacing w:beforeAutospacing="1" w:afterAutospacing="1"/>
            </w:pPr>
            <w:r>
              <w:rPr>
                <w:color w:val="000000"/>
              </w:rPr>
              <w:t>1. Excess match from prior Federal fiscal year</w:t>
            </w:r>
          </w:p>
        </w:tc>
        <w:tc>
          <w:tcPr>
            <w:tcW w:w="0" w:type="auto"/>
            <w:vAlign w:val="bottom"/>
          </w:tcPr>
          <w:p w14:paraId="3354F40B" w14:textId="77777777" w:rsidR="003B314F" w:rsidRDefault="001764E9">
            <w:pPr>
              <w:spacing w:beforeAutospacing="1" w:afterAutospacing="1"/>
              <w:jc w:val="right"/>
            </w:pPr>
            <w:r>
              <w:rPr>
                <w:color w:val="000000"/>
              </w:rPr>
              <w:t>0</w:t>
            </w:r>
          </w:p>
        </w:tc>
      </w:tr>
      <w:tr w:rsidR="003B314F" w14:paraId="55C88A72" w14:textId="77777777">
        <w:trPr>
          <w:cantSplit/>
        </w:trPr>
        <w:tc>
          <w:tcPr>
            <w:tcW w:w="0" w:type="auto"/>
            <w:vAlign w:val="bottom"/>
          </w:tcPr>
          <w:p w14:paraId="2459E600" w14:textId="77777777" w:rsidR="003B314F" w:rsidRDefault="001764E9">
            <w:pPr>
              <w:spacing w:beforeAutospacing="1" w:afterAutospacing="1"/>
            </w:pPr>
            <w:r>
              <w:rPr>
                <w:color w:val="000000"/>
              </w:rPr>
              <w:t>2. Match contributed during current Federal fiscal year</w:t>
            </w:r>
          </w:p>
        </w:tc>
        <w:tc>
          <w:tcPr>
            <w:tcW w:w="0" w:type="auto"/>
            <w:vAlign w:val="bottom"/>
          </w:tcPr>
          <w:p w14:paraId="27D948BF" w14:textId="77777777" w:rsidR="003B314F" w:rsidRDefault="001764E9">
            <w:pPr>
              <w:spacing w:beforeAutospacing="1" w:afterAutospacing="1"/>
              <w:jc w:val="right"/>
            </w:pPr>
            <w:r>
              <w:rPr>
                <w:color w:val="000000"/>
              </w:rPr>
              <w:t>0</w:t>
            </w:r>
          </w:p>
        </w:tc>
      </w:tr>
      <w:tr w:rsidR="003B314F" w14:paraId="713C7417" w14:textId="77777777">
        <w:trPr>
          <w:cantSplit/>
        </w:trPr>
        <w:tc>
          <w:tcPr>
            <w:tcW w:w="0" w:type="auto"/>
            <w:vAlign w:val="bottom"/>
          </w:tcPr>
          <w:p w14:paraId="09742710" w14:textId="77777777" w:rsidR="003B314F" w:rsidRDefault="001764E9">
            <w:pPr>
              <w:spacing w:beforeAutospacing="1" w:afterAutospacing="1"/>
            </w:pPr>
            <w:r>
              <w:rPr>
                <w:color w:val="000000"/>
              </w:rPr>
              <w:t>3. Total match available for current Federal fiscal year (Line 1 plus Line 2)</w:t>
            </w:r>
          </w:p>
        </w:tc>
        <w:tc>
          <w:tcPr>
            <w:tcW w:w="0" w:type="auto"/>
            <w:vAlign w:val="bottom"/>
          </w:tcPr>
          <w:p w14:paraId="480B36A7" w14:textId="77777777" w:rsidR="003B314F" w:rsidRDefault="001764E9">
            <w:pPr>
              <w:spacing w:beforeAutospacing="1" w:afterAutospacing="1"/>
              <w:jc w:val="right"/>
            </w:pPr>
            <w:r>
              <w:rPr>
                <w:color w:val="000000"/>
              </w:rPr>
              <w:t>0</w:t>
            </w:r>
          </w:p>
        </w:tc>
      </w:tr>
      <w:tr w:rsidR="003B314F" w14:paraId="61EA97D3" w14:textId="77777777">
        <w:trPr>
          <w:cantSplit/>
        </w:trPr>
        <w:tc>
          <w:tcPr>
            <w:tcW w:w="0" w:type="auto"/>
            <w:vAlign w:val="bottom"/>
          </w:tcPr>
          <w:p w14:paraId="373E84E0" w14:textId="77777777" w:rsidR="003B314F" w:rsidRDefault="001764E9">
            <w:pPr>
              <w:spacing w:beforeAutospacing="1" w:afterAutospacing="1"/>
            </w:pPr>
            <w:r>
              <w:rPr>
                <w:color w:val="000000"/>
              </w:rPr>
              <w:t>4. Match liability for current Federal fiscal year</w:t>
            </w:r>
          </w:p>
        </w:tc>
        <w:tc>
          <w:tcPr>
            <w:tcW w:w="0" w:type="auto"/>
            <w:vAlign w:val="bottom"/>
          </w:tcPr>
          <w:p w14:paraId="747C5C37" w14:textId="77777777" w:rsidR="003B314F" w:rsidRDefault="001764E9">
            <w:pPr>
              <w:spacing w:beforeAutospacing="1" w:afterAutospacing="1"/>
              <w:jc w:val="right"/>
            </w:pPr>
            <w:r>
              <w:rPr>
                <w:color w:val="000000"/>
              </w:rPr>
              <w:t>0</w:t>
            </w:r>
          </w:p>
        </w:tc>
      </w:tr>
      <w:tr w:rsidR="003B314F" w14:paraId="41F858C6" w14:textId="77777777">
        <w:trPr>
          <w:cantSplit/>
        </w:trPr>
        <w:tc>
          <w:tcPr>
            <w:tcW w:w="0" w:type="auto"/>
            <w:vAlign w:val="bottom"/>
          </w:tcPr>
          <w:p w14:paraId="7FCF5E94" w14:textId="77777777" w:rsidR="003B314F" w:rsidRDefault="001764E9">
            <w:pPr>
              <w:spacing w:beforeAutospacing="1" w:afterAutospacing="1"/>
            </w:pPr>
            <w:r>
              <w:rPr>
                <w:color w:val="000000"/>
              </w:rPr>
              <w:t>5. Excess match carried over to next Federal fiscal year (Line 3 minus Line 4)</w:t>
            </w:r>
          </w:p>
        </w:tc>
        <w:tc>
          <w:tcPr>
            <w:tcW w:w="0" w:type="auto"/>
            <w:vAlign w:val="bottom"/>
          </w:tcPr>
          <w:p w14:paraId="516C474E" w14:textId="77777777" w:rsidR="003B314F" w:rsidRDefault="001764E9">
            <w:pPr>
              <w:spacing w:beforeAutospacing="1" w:afterAutospacing="1"/>
              <w:jc w:val="right"/>
            </w:pPr>
            <w:r>
              <w:rPr>
                <w:color w:val="000000"/>
              </w:rPr>
              <w:t>0</w:t>
            </w:r>
          </w:p>
        </w:tc>
      </w:tr>
    </w:tbl>
    <w:p w14:paraId="6F726ACF" w14:textId="77777777" w:rsidR="003B314F" w:rsidRDefault="001764E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Fiscal Year Summary - HOME Match Report</w:t>
      </w:r>
    </w:p>
    <w:p w14:paraId="137880F6" w14:textId="77777777" w:rsidR="003B314F" w:rsidRDefault="003B314F">
      <w:pPr>
        <w:widowControl w:val="0"/>
        <w:spacing w:line="204" w:lineRule="auto"/>
        <w:rPr>
          <w:rFonts w:cs="Arial"/>
        </w:rPr>
      </w:pPr>
    </w:p>
    <w:p w14:paraId="10F8174A" w14:textId="77777777" w:rsidR="003B314F" w:rsidRDefault="003B314F">
      <w:pPr>
        <w:widowControl w:val="0"/>
        <w:spacing w:line="204" w:lineRule="auto"/>
        <w:rPr>
          <w:rFonts w:cs="Arial"/>
        </w:rPr>
      </w:pPr>
    </w:p>
    <w:p w14:paraId="18A23505" w14:textId="77777777" w:rsidR="003B314F" w:rsidRDefault="003B314F">
      <w:pPr>
        <w:keepNext/>
        <w:spacing w:after="0" w:line="240" w:lineRule="auto"/>
        <w:rPr>
          <w:b/>
          <w:sz w:val="24"/>
          <w:szCs w:val="24"/>
        </w:rPr>
        <w:sectPr w:rsidR="003B314F">
          <w:pgSz w:w="12240" w:h="15840"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39"/>
        <w:gridCol w:w="1439"/>
        <w:gridCol w:w="1439"/>
        <w:gridCol w:w="1438"/>
        <w:gridCol w:w="1439"/>
        <w:gridCol w:w="1439"/>
        <w:gridCol w:w="1439"/>
        <w:gridCol w:w="1439"/>
        <w:gridCol w:w="1439"/>
      </w:tblGrid>
      <w:tr w:rsidR="003B314F" w14:paraId="15D94142" w14:textId="77777777">
        <w:trPr>
          <w:cantSplit/>
          <w:tblHeader/>
        </w:trPr>
        <w:tc>
          <w:tcPr>
            <w:tcW w:w="13176" w:type="dxa"/>
            <w:gridSpan w:val="9"/>
          </w:tcPr>
          <w:p w14:paraId="21D8D111" w14:textId="77777777" w:rsidR="003B314F" w:rsidRDefault="001764E9">
            <w:pPr>
              <w:keepNext/>
              <w:widowControl w:val="0"/>
              <w:tabs>
                <w:tab w:val="left" w:pos="405"/>
                <w:tab w:val="center" w:pos="6480"/>
              </w:tabs>
              <w:spacing w:after="0" w:line="240" w:lineRule="auto"/>
              <w:rPr>
                <w:b/>
              </w:rPr>
            </w:pPr>
            <w:r>
              <w:rPr>
                <w:b/>
              </w:rPr>
              <w:lastRenderedPageBreak/>
              <w:tab/>
            </w:r>
            <w:r>
              <w:rPr>
                <w:b/>
              </w:rPr>
              <w:tab/>
            </w:r>
            <w:r>
              <w:rPr>
                <w:b/>
              </w:rPr>
              <w:t>Match Contribution for the Federal Fiscal Year</w:t>
            </w:r>
          </w:p>
        </w:tc>
      </w:tr>
      <w:tr w:rsidR="003B314F" w14:paraId="0B8556BD" w14:textId="77777777">
        <w:trPr>
          <w:cantSplit/>
          <w:tblHeader/>
        </w:trPr>
        <w:tc>
          <w:tcPr>
            <w:tcW w:w="1464" w:type="dxa"/>
          </w:tcPr>
          <w:p w14:paraId="4AA950C6" w14:textId="77777777" w:rsidR="003B314F" w:rsidRDefault="001764E9">
            <w:pPr>
              <w:keepNext/>
              <w:widowControl w:val="0"/>
              <w:spacing w:after="0" w:line="240" w:lineRule="auto"/>
              <w:jc w:val="center"/>
              <w:rPr>
                <w:b/>
                <w:sz w:val="20"/>
                <w:szCs w:val="20"/>
              </w:rPr>
            </w:pPr>
            <w:r>
              <w:rPr>
                <w:b/>
                <w:sz w:val="20"/>
                <w:szCs w:val="20"/>
              </w:rPr>
              <w:t>Project No. or Other ID</w:t>
            </w:r>
          </w:p>
        </w:tc>
        <w:tc>
          <w:tcPr>
            <w:tcW w:w="1464" w:type="dxa"/>
          </w:tcPr>
          <w:p w14:paraId="5C8CA6ED" w14:textId="77777777" w:rsidR="003B314F" w:rsidRDefault="001764E9">
            <w:pPr>
              <w:keepNext/>
              <w:widowControl w:val="0"/>
              <w:spacing w:after="0" w:line="240" w:lineRule="auto"/>
              <w:jc w:val="center"/>
              <w:rPr>
                <w:b/>
                <w:sz w:val="20"/>
                <w:szCs w:val="20"/>
              </w:rPr>
            </w:pPr>
            <w:r>
              <w:rPr>
                <w:b/>
                <w:sz w:val="20"/>
                <w:szCs w:val="20"/>
              </w:rPr>
              <w:t>Date of Contribution</w:t>
            </w:r>
          </w:p>
        </w:tc>
        <w:tc>
          <w:tcPr>
            <w:tcW w:w="1464" w:type="dxa"/>
          </w:tcPr>
          <w:p w14:paraId="1AECBAA0" w14:textId="77777777" w:rsidR="003B314F" w:rsidRDefault="001764E9">
            <w:pPr>
              <w:keepNext/>
              <w:widowControl w:val="0"/>
              <w:spacing w:after="0" w:line="240" w:lineRule="auto"/>
              <w:jc w:val="center"/>
              <w:rPr>
                <w:b/>
                <w:sz w:val="20"/>
                <w:szCs w:val="20"/>
              </w:rPr>
            </w:pPr>
            <w:r>
              <w:rPr>
                <w:b/>
                <w:sz w:val="20"/>
                <w:szCs w:val="20"/>
              </w:rPr>
              <w:t>Cash</w:t>
            </w:r>
          </w:p>
          <w:p w14:paraId="06C04E84" w14:textId="77777777" w:rsidR="003B314F" w:rsidRDefault="001764E9">
            <w:pPr>
              <w:keepNext/>
              <w:widowControl w:val="0"/>
              <w:spacing w:after="0" w:line="240" w:lineRule="auto"/>
              <w:jc w:val="center"/>
              <w:rPr>
                <w:b/>
                <w:sz w:val="20"/>
                <w:szCs w:val="20"/>
              </w:rPr>
            </w:pPr>
            <w:r>
              <w:rPr>
                <w:b/>
                <w:sz w:val="20"/>
                <w:szCs w:val="20"/>
              </w:rPr>
              <w:t>(non-Federal sources)</w:t>
            </w:r>
          </w:p>
        </w:tc>
        <w:tc>
          <w:tcPr>
            <w:tcW w:w="1464" w:type="dxa"/>
          </w:tcPr>
          <w:p w14:paraId="1A90CEE2" w14:textId="77777777" w:rsidR="003B314F" w:rsidRDefault="001764E9">
            <w:pPr>
              <w:keepNext/>
              <w:widowControl w:val="0"/>
              <w:spacing w:after="0" w:line="240" w:lineRule="auto"/>
              <w:jc w:val="center"/>
              <w:rPr>
                <w:b/>
                <w:sz w:val="20"/>
                <w:szCs w:val="20"/>
              </w:rPr>
            </w:pPr>
            <w:r>
              <w:rPr>
                <w:b/>
                <w:sz w:val="20"/>
                <w:szCs w:val="20"/>
              </w:rPr>
              <w:t>Foregone Taxes, Fees, Charges</w:t>
            </w:r>
          </w:p>
        </w:tc>
        <w:tc>
          <w:tcPr>
            <w:tcW w:w="1464" w:type="dxa"/>
          </w:tcPr>
          <w:p w14:paraId="405D7F08" w14:textId="77777777" w:rsidR="003B314F" w:rsidRDefault="001764E9">
            <w:pPr>
              <w:keepNext/>
              <w:widowControl w:val="0"/>
              <w:spacing w:after="0" w:line="240" w:lineRule="auto"/>
              <w:jc w:val="center"/>
              <w:rPr>
                <w:b/>
                <w:sz w:val="20"/>
                <w:szCs w:val="20"/>
              </w:rPr>
            </w:pPr>
            <w:r>
              <w:rPr>
                <w:b/>
                <w:sz w:val="20"/>
                <w:szCs w:val="20"/>
              </w:rPr>
              <w:t>Appraised Land/Real Property</w:t>
            </w:r>
          </w:p>
        </w:tc>
        <w:tc>
          <w:tcPr>
            <w:tcW w:w="1464" w:type="dxa"/>
          </w:tcPr>
          <w:p w14:paraId="5DDF21F5" w14:textId="77777777" w:rsidR="003B314F" w:rsidRDefault="001764E9">
            <w:pPr>
              <w:keepNext/>
              <w:widowControl w:val="0"/>
              <w:spacing w:after="0" w:line="240" w:lineRule="auto"/>
              <w:jc w:val="center"/>
              <w:rPr>
                <w:b/>
                <w:sz w:val="20"/>
                <w:szCs w:val="20"/>
              </w:rPr>
            </w:pPr>
            <w:r>
              <w:rPr>
                <w:b/>
                <w:sz w:val="20"/>
                <w:szCs w:val="20"/>
              </w:rPr>
              <w:t>Required Infrastructure</w:t>
            </w:r>
          </w:p>
        </w:tc>
        <w:tc>
          <w:tcPr>
            <w:tcW w:w="1464" w:type="dxa"/>
          </w:tcPr>
          <w:p w14:paraId="54269BDB" w14:textId="77777777" w:rsidR="003B314F" w:rsidRDefault="001764E9">
            <w:pPr>
              <w:keepNext/>
              <w:widowControl w:val="0"/>
              <w:spacing w:after="0" w:line="240" w:lineRule="auto"/>
              <w:jc w:val="center"/>
              <w:rPr>
                <w:b/>
                <w:sz w:val="20"/>
                <w:szCs w:val="20"/>
              </w:rPr>
            </w:pPr>
            <w:r>
              <w:rPr>
                <w:b/>
                <w:sz w:val="20"/>
                <w:szCs w:val="20"/>
              </w:rPr>
              <w:t>Site Preparation, Construction Materials, Donated labor</w:t>
            </w:r>
          </w:p>
        </w:tc>
        <w:tc>
          <w:tcPr>
            <w:tcW w:w="1464" w:type="dxa"/>
          </w:tcPr>
          <w:p w14:paraId="6835F0F4" w14:textId="77777777" w:rsidR="003B314F" w:rsidRDefault="001764E9">
            <w:pPr>
              <w:keepNext/>
              <w:widowControl w:val="0"/>
              <w:spacing w:after="0" w:line="240" w:lineRule="auto"/>
              <w:jc w:val="center"/>
              <w:rPr>
                <w:b/>
                <w:sz w:val="20"/>
                <w:szCs w:val="20"/>
              </w:rPr>
            </w:pPr>
            <w:r>
              <w:rPr>
                <w:b/>
                <w:sz w:val="20"/>
                <w:szCs w:val="20"/>
              </w:rPr>
              <w:t>Bond Financing</w:t>
            </w:r>
          </w:p>
        </w:tc>
        <w:tc>
          <w:tcPr>
            <w:tcW w:w="1464" w:type="dxa"/>
          </w:tcPr>
          <w:p w14:paraId="7869BD05" w14:textId="77777777" w:rsidR="003B314F" w:rsidRDefault="001764E9">
            <w:pPr>
              <w:keepNext/>
              <w:widowControl w:val="0"/>
              <w:spacing w:after="0" w:line="240" w:lineRule="auto"/>
              <w:jc w:val="center"/>
              <w:rPr>
                <w:b/>
                <w:sz w:val="20"/>
                <w:szCs w:val="20"/>
              </w:rPr>
            </w:pPr>
            <w:r>
              <w:rPr>
                <w:b/>
                <w:sz w:val="20"/>
                <w:szCs w:val="20"/>
              </w:rPr>
              <w:t>Total Match</w:t>
            </w:r>
          </w:p>
        </w:tc>
      </w:tr>
      <w:tr w:rsidR="003B314F" w14:paraId="62724243" w14:textId="77777777">
        <w:trPr>
          <w:cantSplit/>
        </w:trPr>
        <w:tc>
          <w:tcPr>
            <w:tcW w:w="1465" w:type="dxa"/>
            <w:vAlign w:val="bottom"/>
          </w:tcPr>
          <w:p w14:paraId="155D561F" w14:textId="77777777" w:rsidR="003B314F" w:rsidRDefault="001764E9">
            <w:pPr>
              <w:spacing w:beforeAutospacing="1" w:afterAutospacing="1"/>
              <w:jc w:val="right"/>
            </w:pPr>
            <w:r>
              <w:rPr>
                <w:color w:val="000000"/>
              </w:rPr>
              <w:t>4864</w:t>
            </w:r>
          </w:p>
        </w:tc>
        <w:tc>
          <w:tcPr>
            <w:tcW w:w="1465" w:type="dxa"/>
            <w:vAlign w:val="bottom"/>
          </w:tcPr>
          <w:p w14:paraId="38BDA559" w14:textId="77777777" w:rsidR="003B314F" w:rsidRDefault="001764E9">
            <w:pPr>
              <w:spacing w:beforeAutospacing="1" w:afterAutospacing="1"/>
              <w:jc w:val="right"/>
            </w:pPr>
            <w:r>
              <w:rPr>
                <w:color w:val="000000"/>
              </w:rPr>
              <w:t>06/30/2025</w:t>
            </w:r>
          </w:p>
        </w:tc>
        <w:tc>
          <w:tcPr>
            <w:tcW w:w="1465" w:type="dxa"/>
            <w:vAlign w:val="bottom"/>
          </w:tcPr>
          <w:p w14:paraId="5E7D291D" w14:textId="77777777" w:rsidR="003B314F" w:rsidRDefault="001764E9">
            <w:pPr>
              <w:spacing w:beforeAutospacing="1" w:afterAutospacing="1"/>
              <w:jc w:val="right"/>
            </w:pPr>
            <w:r>
              <w:rPr>
                <w:color w:val="000000"/>
              </w:rPr>
              <w:t>132,583</w:t>
            </w:r>
          </w:p>
        </w:tc>
        <w:tc>
          <w:tcPr>
            <w:tcW w:w="1465" w:type="dxa"/>
            <w:vAlign w:val="bottom"/>
          </w:tcPr>
          <w:p w14:paraId="029F18F4" w14:textId="77777777" w:rsidR="003B314F" w:rsidRDefault="001764E9">
            <w:pPr>
              <w:spacing w:beforeAutospacing="1" w:afterAutospacing="1"/>
              <w:jc w:val="right"/>
            </w:pPr>
            <w:r>
              <w:rPr>
                <w:color w:val="000000"/>
              </w:rPr>
              <w:t>0</w:t>
            </w:r>
          </w:p>
        </w:tc>
        <w:tc>
          <w:tcPr>
            <w:tcW w:w="1466" w:type="dxa"/>
            <w:vAlign w:val="bottom"/>
          </w:tcPr>
          <w:p w14:paraId="2C8CECD5" w14:textId="77777777" w:rsidR="003B314F" w:rsidRDefault="001764E9">
            <w:pPr>
              <w:spacing w:beforeAutospacing="1" w:afterAutospacing="1"/>
              <w:jc w:val="right"/>
            </w:pPr>
            <w:r>
              <w:rPr>
                <w:color w:val="000000"/>
              </w:rPr>
              <w:t>0</w:t>
            </w:r>
          </w:p>
        </w:tc>
        <w:tc>
          <w:tcPr>
            <w:tcW w:w="1466" w:type="dxa"/>
            <w:vAlign w:val="bottom"/>
          </w:tcPr>
          <w:p w14:paraId="356676F5" w14:textId="77777777" w:rsidR="003B314F" w:rsidRDefault="001764E9">
            <w:pPr>
              <w:spacing w:beforeAutospacing="1" w:afterAutospacing="1"/>
              <w:jc w:val="right"/>
            </w:pPr>
            <w:r>
              <w:rPr>
                <w:color w:val="000000"/>
              </w:rPr>
              <w:t>0</w:t>
            </w:r>
          </w:p>
        </w:tc>
        <w:tc>
          <w:tcPr>
            <w:tcW w:w="1466" w:type="dxa"/>
            <w:vAlign w:val="bottom"/>
          </w:tcPr>
          <w:p w14:paraId="36EE5BBD" w14:textId="77777777" w:rsidR="003B314F" w:rsidRDefault="001764E9">
            <w:pPr>
              <w:spacing w:beforeAutospacing="1" w:afterAutospacing="1"/>
              <w:jc w:val="right"/>
            </w:pPr>
            <w:r>
              <w:rPr>
                <w:color w:val="000000"/>
              </w:rPr>
              <w:t>0</w:t>
            </w:r>
          </w:p>
        </w:tc>
        <w:tc>
          <w:tcPr>
            <w:tcW w:w="1466" w:type="dxa"/>
            <w:vAlign w:val="bottom"/>
          </w:tcPr>
          <w:p w14:paraId="7142271E" w14:textId="77777777" w:rsidR="003B314F" w:rsidRDefault="001764E9">
            <w:pPr>
              <w:spacing w:beforeAutospacing="1" w:afterAutospacing="1"/>
              <w:jc w:val="right"/>
            </w:pPr>
            <w:r>
              <w:rPr>
                <w:color w:val="000000"/>
              </w:rPr>
              <w:t>0</w:t>
            </w:r>
          </w:p>
        </w:tc>
        <w:tc>
          <w:tcPr>
            <w:tcW w:w="1466" w:type="dxa"/>
            <w:vAlign w:val="bottom"/>
          </w:tcPr>
          <w:p w14:paraId="11E3925A" w14:textId="77777777" w:rsidR="003B314F" w:rsidRDefault="001764E9">
            <w:pPr>
              <w:spacing w:beforeAutospacing="1" w:afterAutospacing="1"/>
              <w:jc w:val="right"/>
            </w:pPr>
            <w:r>
              <w:rPr>
                <w:color w:val="000000"/>
              </w:rPr>
              <w:t>132,583</w:t>
            </w:r>
          </w:p>
        </w:tc>
      </w:tr>
      <w:tr w:rsidR="003B314F" w14:paraId="3281576B" w14:textId="77777777">
        <w:trPr>
          <w:cantSplit/>
        </w:trPr>
        <w:tc>
          <w:tcPr>
            <w:tcW w:w="1465" w:type="dxa"/>
            <w:vAlign w:val="bottom"/>
          </w:tcPr>
          <w:p w14:paraId="5464EDB0" w14:textId="77777777" w:rsidR="003B314F" w:rsidRDefault="001764E9">
            <w:pPr>
              <w:spacing w:beforeAutospacing="1" w:afterAutospacing="1"/>
              <w:jc w:val="right"/>
            </w:pPr>
            <w:r>
              <w:rPr>
                <w:color w:val="000000"/>
              </w:rPr>
              <w:t>4865</w:t>
            </w:r>
          </w:p>
        </w:tc>
        <w:tc>
          <w:tcPr>
            <w:tcW w:w="1465" w:type="dxa"/>
            <w:vAlign w:val="bottom"/>
          </w:tcPr>
          <w:p w14:paraId="3EFF619D" w14:textId="77777777" w:rsidR="003B314F" w:rsidRDefault="001764E9">
            <w:pPr>
              <w:spacing w:beforeAutospacing="1" w:afterAutospacing="1"/>
              <w:jc w:val="right"/>
            </w:pPr>
            <w:r>
              <w:rPr>
                <w:color w:val="000000"/>
              </w:rPr>
              <w:t>06/30/2025</w:t>
            </w:r>
          </w:p>
        </w:tc>
        <w:tc>
          <w:tcPr>
            <w:tcW w:w="1465" w:type="dxa"/>
            <w:vAlign w:val="bottom"/>
          </w:tcPr>
          <w:p w14:paraId="6650945B" w14:textId="77777777" w:rsidR="003B314F" w:rsidRDefault="001764E9">
            <w:pPr>
              <w:spacing w:beforeAutospacing="1" w:afterAutospacing="1"/>
              <w:jc w:val="right"/>
            </w:pPr>
            <w:r>
              <w:rPr>
                <w:color w:val="000000"/>
              </w:rPr>
              <w:t>132,583</w:t>
            </w:r>
          </w:p>
        </w:tc>
        <w:tc>
          <w:tcPr>
            <w:tcW w:w="1465" w:type="dxa"/>
            <w:vAlign w:val="bottom"/>
          </w:tcPr>
          <w:p w14:paraId="3C585C79" w14:textId="77777777" w:rsidR="003B314F" w:rsidRDefault="001764E9">
            <w:pPr>
              <w:spacing w:beforeAutospacing="1" w:afterAutospacing="1"/>
              <w:jc w:val="right"/>
            </w:pPr>
            <w:r>
              <w:rPr>
                <w:color w:val="000000"/>
              </w:rPr>
              <w:t>0</w:t>
            </w:r>
          </w:p>
        </w:tc>
        <w:tc>
          <w:tcPr>
            <w:tcW w:w="1466" w:type="dxa"/>
            <w:vAlign w:val="bottom"/>
          </w:tcPr>
          <w:p w14:paraId="24E059A3" w14:textId="77777777" w:rsidR="003B314F" w:rsidRDefault="001764E9">
            <w:pPr>
              <w:spacing w:beforeAutospacing="1" w:afterAutospacing="1"/>
              <w:jc w:val="right"/>
            </w:pPr>
            <w:r>
              <w:rPr>
                <w:color w:val="000000"/>
              </w:rPr>
              <w:t>0</w:t>
            </w:r>
          </w:p>
        </w:tc>
        <w:tc>
          <w:tcPr>
            <w:tcW w:w="1466" w:type="dxa"/>
            <w:vAlign w:val="bottom"/>
          </w:tcPr>
          <w:p w14:paraId="4DDB8739" w14:textId="77777777" w:rsidR="003B314F" w:rsidRDefault="001764E9">
            <w:pPr>
              <w:spacing w:beforeAutospacing="1" w:afterAutospacing="1"/>
              <w:jc w:val="right"/>
            </w:pPr>
            <w:r>
              <w:rPr>
                <w:color w:val="000000"/>
              </w:rPr>
              <w:t>0</w:t>
            </w:r>
          </w:p>
        </w:tc>
        <w:tc>
          <w:tcPr>
            <w:tcW w:w="1466" w:type="dxa"/>
            <w:vAlign w:val="bottom"/>
          </w:tcPr>
          <w:p w14:paraId="79DF7AB5" w14:textId="77777777" w:rsidR="003B314F" w:rsidRDefault="001764E9">
            <w:pPr>
              <w:spacing w:beforeAutospacing="1" w:afterAutospacing="1"/>
              <w:jc w:val="right"/>
            </w:pPr>
            <w:r>
              <w:rPr>
                <w:color w:val="000000"/>
              </w:rPr>
              <w:t>0</w:t>
            </w:r>
          </w:p>
        </w:tc>
        <w:tc>
          <w:tcPr>
            <w:tcW w:w="1466" w:type="dxa"/>
            <w:vAlign w:val="bottom"/>
          </w:tcPr>
          <w:p w14:paraId="0D736C44" w14:textId="77777777" w:rsidR="003B314F" w:rsidRDefault="001764E9">
            <w:pPr>
              <w:spacing w:beforeAutospacing="1" w:afterAutospacing="1"/>
              <w:jc w:val="right"/>
            </w:pPr>
            <w:r>
              <w:rPr>
                <w:color w:val="000000"/>
              </w:rPr>
              <w:t>0</w:t>
            </w:r>
          </w:p>
        </w:tc>
        <w:tc>
          <w:tcPr>
            <w:tcW w:w="1466" w:type="dxa"/>
            <w:vAlign w:val="bottom"/>
          </w:tcPr>
          <w:p w14:paraId="200D1F95" w14:textId="77777777" w:rsidR="003B314F" w:rsidRDefault="001764E9">
            <w:pPr>
              <w:spacing w:beforeAutospacing="1" w:afterAutospacing="1"/>
              <w:jc w:val="right"/>
            </w:pPr>
            <w:r>
              <w:rPr>
                <w:color w:val="000000"/>
              </w:rPr>
              <w:t>132,583</w:t>
            </w:r>
          </w:p>
        </w:tc>
      </w:tr>
      <w:tr w:rsidR="003B314F" w14:paraId="1FBDA109" w14:textId="77777777">
        <w:trPr>
          <w:cantSplit/>
        </w:trPr>
        <w:tc>
          <w:tcPr>
            <w:tcW w:w="1465" w:type="dxa"/>
            <w:vAlign w:val="bottom"/>
          </w:tcPr>
          <w:p w14:paraId="270377DE" w14:textId="77777777" w:rsidR="003B314F" w:rsidRDefault="001764E9">
            <w:pPr>
              <w:spacing w:beforeAutospacing="1" w:afterAutospacing="1"/>
              <w:jc w:val="right"/>
            </w:pPr>
            <w:r>
              <w:rPr>
                <w:color w:val="000000"/>
              </w:rPr>
              <w:t>4931</w:t>
            </w:r>
          </w:p>
        </w:tc>
        <w:tc>
          <w:tcPr>
            <w:tcW w:w="1465" w:type="dxa"/>
            <w:vAlign w:val="bottom"/>
          </w:tcPr>
          <w:p w14:paraId="4B1A4AE0" w14:textId="77777777" w:rsidR="003B314F" w:rsidRDefault="001764E9">
            <w:pPr>
              <w:spacing w:beforeAutospacing="1" w:afterAutospacing="1"/>
              <w:jc w:val="right"/>
            </w:pPr>
            <w:r>
              <w:rPr>
                <w:color w:val="000000"/>
              </w:rPr>
              <w:t>07/08/2024</w:t>
            </w:r>
          </w:p>
        </w:tc>
        <w:tc>
          <w:tcPr>
            <w:tcW w:w="1465" w:type="dxa"/>
            <w:vAlign w:val="bottom"/>
          </w:tcPr>
          <w:p w14:paraId="4AB75B4D" w14:textId="77777777" w:rsidR="003B314F" w:rsidRDefault="001764E9">
            <w:pPr>
              <w:spacing w:beforeAutospacing="1" w:afterAutospacing="1"/>
              <w:jc w:val="right"/>
            </w:pPr>
            <w:r>
              <w:rPr>
                <w:color w:val="000000"/>
              </w:rPr>
              <w:t>36,225</w:t>
            </w:r>
          </w:p>
        </w:tc>
        <w:tc>
          <w:tcPr>
            <w:tcW w:w="1465" w:type="dxa"/>
            <w:vAlign w:val="bottom"/>
          </w:tcPr>
          <w:p w14:paraId="77367056" w14:textId="77777777" w:rsidR="003B314F" w:rsidRDefault="001764E9">
            <w:pPr>
              <w:spacing w:beforeAutospacing="1" w:afterAutospacing="1"/>
              <w:jc w:val="right"/>
            </w:pPr>
            <w:r>
              <w:rPr>
                <w:color w:val="000000"/>
              </w:rPr>
              <w:t>0</w:t>
            </w:r>
          </w:p>
        </w:tc>
        <w:tc>
          <w:tcPr>
            <w:tcW w:w="1466" w:type="dxa"/>
            <w:vAlign w:val="bottom"/>
          </w:tcPr>
          <w:p w14:paraId="7E808B80" w14:textId="77777777" w:rsidR="003B314F" w:rsidRDefault="001764E9">
            <w:pPr>
              <w:spacing w:beforeAutospacing="1" w:afterAutospacing="1"/>
              <w:jc w:val="right"/>
            </w:pPr>
            <w:r>
              <w:rPr>
                <w:color w:val="000000"/>
              </w:rPr>
              <w:t>0</w:t>
            </w:r>
          </w:p>
        </w:tc>
        <w:tc>
          <w:tcPr>
            <w:tcW w:w="1466" w:type="dxa"/>
            <w:vAlign w:val="bottom"/>
          </w:tcPr>
          <w:p w14:paraId="24749BDF" w14:textId="77777777" w:rsidR="003B314F" w:rsidRDefault="001764E9">
            <w:pPr>
              <w:spacing w:beforeAutospacing="1" w:afterAutospacing="1"/>
              <w:jc w:val="right"/>
            </w:pPr>
            <w:r>
              <w:rPr>
                <w:color w:val="000000"/>
              </w:rPr>
              <w:t>0</w:t>
            </w:r>
          </w:p>
        </w:tc>
        <w:tc>
          <w:tcPr>
            <w:tcW w:w="1466" w:type="dxa"/>
            <w:vAlign w:val="bottom"/>
          </w:tcPr>
          <w:p w14:paraId="288C82EB" w14:textId="77777777" w:rsidR="003B314F" w:rsidRDefault="001764E9">
            <w:pPr>
              <w:spacing w:beforeAutospacing="1" w:afterAutospacing="1"/>
              <w:jc w:val="right"/>
            </w:pPr>
            <w:r>
              <w:rPr>
                <w:color w:val="000000"/>
              </w:rPr>
              <w:t>0</w:t>
            </w:r>
          </w:p>
        </w:tc>
        <w:tc>
          <w:tcPr>
            <w:tcW w:w="1466" w:type="dxa"/>
            <w:vAlign w:val="bottom"/>
          </w:tcPr>
          <w:p w14:paraId="31874119" w14:textId="77777777" w:rsidR="003B314F" w:rsidRDefault="001764E9">
            <w:pPr>
              <w:spacing w:beforeAutospacing="1" w:afterAutospacing="1"/>
              <w:jc w:val="right"/>
            </w:pPr>
            <w:r>
              <w:rPr>
                <w:color w:val="000000"/>
              </w:rPr>
              <w:t>0</w:t>
            </w:r>
          </w:p>
        </w:tc>
        <w:tc>
          <w:tcPr>
            <w:tcW w:w="1466" w:type="dxa"/>
            <w:vAlign w:val="bottom"/>
          </w:tcPr>
          <w:p w14:paraId="2CD919C0" w14:textId="77777777" w:rsidR="003B314F" w:rsidRDefault="001764E9">
            <w:pPr>
              <w:spacing w:beforeAutospacing="1" w:afterAutospacing="1"/>
              <w:jc w:val="right"/>
            </w:pPr>
            <w:r>
              <w:rPr>
                <w:color w:val="000000"/>
              </w:rPr>
              <w:t>36,225</w:t>
            </w:r>
          </w:p>
        </w:tc>
      </w:tr>
      <w:tr w:rsidR="003B314F" w14:paraId="2731B2E9" w14:textId="77777777">
        <w:trPr>
          <w:cantSplit/>
        </w:trPr>
        <w:tc>
          <w:tcPr>
            <w:tcW w:w="1465" w:type="dxa"/>
            <w:vAlign w:val="bottom"/>
          </w:tcPr>
          <w:p w14:paraId="48D79848" w14:textId="77777777" w:rsidR="003B314F" w:rsidRDefault="001764E9">
            <w:pPr>
              <w:spacing w:beforeAutospacing="1" w:afterAutospacing="1"/>
              <w:jc w:val="right"/>
            </w:pPr>
            <w:r>
              <w:rPr>
                <w:color w:val="000000"/>
              </w:rPr>
              <w:t>4942</w:t>
            </w:r>
          </w:p>
        </w:tc>
        <w:tc>
          <w:tcPr>
            <w:tcW w:w="1465" w:type="dxa"/>
            <w:vAlign w:val="bottom"/>
          </w:tcPr>
          <w:p w14:paraId="11F9DCF9" w14:textId="77777777" w:rsidR="003B314F" w:rsidRDefault="001764E9">
            <w:pPr>
              <w:spacing w:beforeAutospacing="1" w:afterAutospacing="1"/>
              <w:jc w:val="right"/>
            </w:pPr>
            <w:r>
              <w:rPr>
                <w:color w:val="000000"/>
              </w:rPr>
              <w:t>06/15/2025</w:t>
            </w:r>
          </w:p>
        </w:tc>
        <w:tc>
          <w:tcPr>
            <w:tcW w:w="1465" w:type="dxa"/>
            <w:vAlign w:val="bottom"/>
          </w:tcPr>
          <w:p w14:paraId="399EF5A1" w14:textId="77777777" w:rsidR="003B314F" w:rsidRDefault="001764E9">
            <w:pPr>
              <w:spacing w:beforeAutospacing="1" w:afterAutospacing="1"/>
              <w:jc w:val="right"/>
            </w:pPr>
            <w:r>
              <w:rPr>
                <w:color w:val="000000"/>
              </w:rPr>
              <w:t>33,437</w:t>
            </w:r>
          </w:p>
        </w:tc>
        <w:tc>
          <w:tcPr>
            <w:tcW w:w="1465" w:type="dxa"/>
            <w:vAlign w:val="bottom"/>
          </w:tcPr>
          <w:p w14:paraId="2241EBAB" w14:textId="77777777" w:rsidR="003B314F" w:rsidRDefault="001764E9">
            <w:pPr>
              <w:spacing w:beforeAutospacing="1" w:afterAutospacing="1"/>
              <w:jc w:val="right"/>
            </w:pPr>
            <w:r>
              <w:rPr>
                <w:color w:val="000000"/>
              </w:rPr>
              <w:t>0</w:t>
            </w:r>
          </w:p>
        </w:tc>
        <w:tc>
          <w:tcPr>
            <w:tcW w:w="1466" w:type="dxa"/>
            <w:vAlign w:val="bottom"/>
          </w:tcPr>
          <w:p w14:paraId="55FAD237" w14:textId="77777777" w:rsidR="003B314F" w:rsidRDefault="001764E9">
            <w:pPr>
              <w:spacing w:beforeAutospacing="1" w:afterAutospacing="1"/>
              <w:jc w:val="right"/>
            </w:pPr>
            <w:r>
              <w:rPr>
                <w:color w:val="000000"/>
              </w:rPr>
              <w:t>0</w:t>
            </w:r>
          </w:p>
        </w:tc>
        <w:tc>
          <w:tcPr>
            <w:tcW w:w="1466" w:type="dxa"/>
            <w:vAlign w:val="bottom"/>
          </w:tcPr>
          <w:p w14:paraId="125F72AE" w14:textId="77777777" w:rsidR="003B314F" w:rsidRDefault="001764E9">
            <w:pPr>
              <w:spacing w:beforeAutospacing="1" w:afterAutospacing="1"/>
              <w:jc w:val="right"/>
            </w:pPr>
            <w:r>
              <w:rPr>
                <w:color w:val="000000"/>
              </w:rPr>
              <w:t>0</w:t>
            </w:r>
          </w:p>
        </w:tc>
        <w:tc>
          <w:tcPr>
            <w:tcW w:w="1466" w:type="dxa"/>
            <w:vAlign w:val="bottom"/>
          </w:tcPr>
          <w:p w14:paraId="72BF49DC" w14:textId="77777777" w:rsidR="003B314F" w:rsidRDefault="001764E9">
            <w:pPr>
              <w:spacing w:beforeAutospacing="1" w:afterAutospacing="1"/>
              <w:jc w:val="right"/>
            </w:pPr>
            <w:r>
              <w:rPr>
                <w:color w:val="000000"/>
              </w:rPr>
              <w:t>0</w:t>
            </w:r>
          </w:p>
        </w:tc>
        <w:tc>
          <w:tcPr>
            <w:tcW w:w="1466" w:type="dxa"/>
            <w:vAlign w:val="bottom"/>
          </w:tcPr>
          <w:p w14:paraId="2F817628" w14:textId="77777777" w:rsidR="003B314F" w:rsidRDefault="001764E9">
            <w:pPr>
              <w:spacing w:beforeAutospacing="1" w:afterAutospacing="1"/>
              <w:jc w:val="right"/>
            </w:pPr>
            <w:r>
              <w:rPr>
                <w:color w:val="000000"/>
              </w:rPr>
              <w:t>0</w:t>
            </w:r>
          </w:p>
        </w:tc>
        <w:tc>
          <w:tcPr>
            <w:tcW w:w="1466" w:type="dxa"/>
            <w:vAlign w:val="bottom"/>
          </w:tcPr>
          <w:p w14:paraId="149EB27A" w14:textId="77777777" w:rsidR="003B314F" w:rsidRDefault="001764E9">
            <w:pPr>
              <w:spacing w:beforeAutospacing="1" w:afterAutospacing="1"/>
              <w:jc w:val="right"/>
            </w:pPr>
            <w:r>
              <w:rPr>
                <w:color w:val="000000"/>
              </w:rPr>
              <w:t>33,437</w:t>
            </w:r>
          </w:p>
        </w:tc>
      </w:tr>
      <w:tr w:rsidR="003B314F" w14:paraId="219AC7A9" w14:textId="77777777">
        <w:trPr>
          <w:cantSplit/>
        </w:trPr>
        <w:tc>
          <w:tcPr>
            <w:tcW w:w="1465" w:type="dxa"/>
            <w:vAlign w:val="bottom"/>
          </w:tcPr>
          <w:p w14:paraId="38A95E26" w14:textId="77777777" w:rsidR="003B314F" w:rsidRDefault="001764E9">
            <w:pPr>
              <w:spacing w:beforeAutospacing="1" w:afterAutospacing="1"/>
              <w:jc w:val="right"/>
            </w:pPr>
            <w:r>
              <w:rPr>
                <w:color w:val="000000"/>
              </w:rPr>
              <w:t>5069</w:t>
            </w:r>
          </w:p>
        </w:tc>
        <w:tc>
          <w:tcPr>
            <w:tcW w:w="1465" w:type="dxa"/>
            <w:vAlign w:val="bottom"/>
          </w:tcPr>
          <w:p w14:paraId="548DB8E9" w14:textId="77777777" w:rsidR="003B314F" w:rsidRDefault="001764E9">
            <w:pPr>
              <w:spacing w:beforeAutospacing="1" w:afterAutospacing="1"/>
              <w:jc w:val="right"/>
            </w:pPr>
            <w:r>
              <w:rPr>
                <w:color w:val="000000"/>
              </w:rPr>
              <w:t>0</w:t>
            </w:r>
          </w:p>
        </w:tc>
        <w:tc>
          <w:tcPr>
            <w:tcW w:w="1465" w:type="dxa"/>
            <w:vAlign w:val="bottom"/>
          </w:tcPr>
          <w:p w14:paraId="5BFBAC11" w14:textId="77777777" w:rsidR="003B314F" w:rsidRDefault="001764E9">
            <w:pPr>
              <w:spacing w:beforeAutospacing="1" w:afterAutospacing="1"/>
              <w:jc w:val="right"/>
            </w:pPr>
            <w:r>
              <w:rPr>
                <w:color w:val="000000"/>
              </w:rPr>
              <w:t>0</w:t>
            </w:r>
          </w:p>
        </w:tc>
        <w:tc>
          <w:tcPr>
            <w:tcW w:w="1465" w:type="dxa"/>
            <w:vAlign w:val="bottom"/>
          </w:tcPr>
          <w:p w14:paraId="6104F7D1" w14:textId="77777777" w:rsidR="003B314F" w:rsidRDefault="001764E9">
            <w:pPr>
              <w:spacing w:beforeAutospacing="1" w:afterAutospacing="1"/>
              <w:jc w:val="right"/>
            </w:pPr>
            <w:r>
              <w:rPr>
                <w:color w:val="000000"/>
              </w:rPr>
              <w:t>0</w:t>
            </w:r>
          </w:p>
        </w:tc>
        <w:tc>
          <w:tcPr>
            <w:tcW w:w="1466" w:type="dxa"/>
            <w:vAlign w:val="bottom"/>
          </w:tcPr>
          <w:p w14:paraId="16A3FF7E" w14:textId="77777777" w:rsidR="003B314F" w:rsidRDefault="001764E9">
            <w:pPr>
              <w:spacing w:beforeAutospacing="1" w:afterAutospacing="1"/>
              <w:jc w:val="right"/>
            </w:pPr>
            <w:r>
              <w:rPr>
                <w:color w:val="000000"/>
              </w:rPr>
              <w:t>0</w:t>
            </w:r>
          </w:p>
        </w:tc>
        <w:tc>
          <w:tcPr>
            <w:tcW w:w="1466" w:type="dxa"/>
            <w:vAlign w:val="bottom"/>
          </w:tcPr>
          <w:p w14:paraId="2C8D5433" w14:textId="77777777" w:rsidR="003B314F" w:rsidRDefault="001764E9">
            <w:pPr>
              <w:spacing w:beforeAutospacing="1" w:afterAutospacing="1"/>
              <w:jc w:val="right"/>
            </w:pPr>
            <w:r>
              <w:rPr>
                <w:color w:val="000000"/>
              </w:rPr>
              <w:t>0</w:t>
            </w:r>
          </w:p>
        </w:tc>
        <w:tc>
          <w:tcPr>
            <w:tcW w:w="1466" w:type="dxa"/>
            <w:vAlign w:val="bottom"/>
          </w:tcPr>
          <w:p w14:paraId="44E3F0AF" w14:textId="77777777" w:rsidR="003B314F" w:rsidRDefault="001764E9">
            <w:pPr>
              <w:spacing w:beforeAutospacing="1" w:afterAutospacing="1"/>
              <w:jc w:val="right"/>
            </w:pPr>
            <w:r>
              <w:rPr>
                <w:color w:val="000000"/>
              </w:rPr>
              <w:t>0</w:t>
            </w:r>
          </w:p>
        </w:tc>
        <w:tc>
          <w:tcPr>
            <w:tcW w:w="1466" w:type="dxa"/>
            <w:vAlign w:val="bottom"/>
          </w:tcPr>
          <w:p w14:paraId="77954057" w14:textId="77777777" w:rsidR="003B314F" w:rsidRDefault="001764E9">
            <w:pPr>
              <w:spacing w:beforeAutospacing="1" w:afterAutospacing="1"/>
              <w:jc w:val="right"/>
            </w:pPr>
            <w:r>
              <w:rPr>
                <w:color w:val="000000"/>
              </w:rPr>
              <w:t>0</w:t>
            </w:r>
          </w:p>
        </w:tc>
        <w:tc>
          <w:tcPr>
            <w:tcW w:w="1466" w:type="dxa"/>
            <w:vAlign w:val="bottom"/>
          </w:tcPr>
          <w:p w14:paraId="33D2307C" w14:textId="77777777" w:rsidR="003B314F" w:rsidRDefault="001764E9">
            <w:pPr>
              <w:spacing w:beforeAutospacing="1" w:afterAutospacing="1"/>
              <w:jc w:val="right"/>
            </w:pPr>
            <w:r>
              <w:rPr>
                <w:color w:val="000000"/>
              </w:rPr>
              <w:t>0</w:t>
            </w:r>
          </w:p>
        </w:tc>
      </w:tr>
      <w:tr w:rsidR="003B314F" w14:paraId="26E13AD2" w14:textId="77777777">
        <w:trPr>
          <w:cantSplit/>
        </w:trPr>
        <w:tc>
          <w:tcPr>
            <w:tcW w:w="1465" w:type="dxa"/>
            <w:vAlign w:val="bottom"/>
          </w:tcPr>
          <w:p w14:paraId="49EA643A" w14:textId="77777777" w:rsidR="003B314F" w:rsidRDefault="001764E9">
            <w:pPr>
              <w:spacing w:beforeAutospacing="1" w:afterAutospacing="1"/>
              <w:jc w:val="right"/>
            </w:pPr>
            <w:r>
              <w:rPr>
                <w:color w:val="000000"/>
              </w:rPr>
              <w:t>5092</w:t>
            </w:r>
          </w:p>
        </w:tc>
        <w:tc>
          <w:tcPr>
            <w:tcW w:w="1465" w:type="dxa"/>
            <w:vAlign w:val="bottom"/>
          </w:tcPr>
          <w:p w14:paraId="4013EA00" w14:textId="77777777" w:rsidR="003B314F" w:rsidRDefault="001764E9">
            <w:pPr>
              <w:spacing w:beforeAutospacing="1" w:afterAutospacing="1"/>
              <w:jc w:val="right"/>
            </w:pPr>
            <w:r>
              <w:rPr>
                <w:color w:val="000000"/>
              </w:rPr>
              <w:t>0</w:t>
            </w:r>
          </w:p>
        </w:tc>
        <w:tc>
          <w:tcPr>
            <w:tcW w:w="1465" w:type="dxa"/>
            <w:vAlign w:val="bottom"/>
          </w:tcPr>
          <w:p w14:paraId="5704CF2D" w14:textId="77777777" w:rsidR="003B314F" w:rsidRDefault="001764E9">
            <w:pPr>
              <w:spacing w:beforeAutospacing="1" w:afterAutospacing="1"/>
              <w:jc w:val="right"/>
            </w:pPr>
            <w:r>
              <w:rPr>
                <w:color w:val="000000"/>
              </w:rPr>
              <w:t>0</w:t>
            </w:r>
          </w:p>
        </w:tc>
        <w:tc>
          <w:tcPr>
            <w:tcW w:w="1465" w:type="dxa"/>
            <w:vAlign w:val="bottom"/>
          </w:tcPr>
          <w:p w14:paraId="6E8CCEA2" w14:textId="77777777" w:rsidR="003B314F" w:rsidRDefault="001764E9">
            <w:pPr>
              <w:spacing w:beforeAutospacing="1" w:afterAutospacing="1"/>
              <w:jc w:val="right"/>
            </w:pPr>
            <w:r>
              <w:rPr>
                <w:color w:val="000000"/>
              </w:rPr>
              <w:t>0</w:t>
            </w:r>
          </w:p>
        </w:tc>
        <w:tc>
          <w:tcPr>
            <w:tcW w:w="1466" w:type="dxa"/>
            <w:vAlign w:val="bottom"/>
          </w:tcPr>
          <w:p w14:paraId="2ADFFC29" w14:textId="77777777" w:rsidR="003B314F" w:rsidRDefault="001764E9">
            <w:pPr>
              <w:spacing w:beforeAutospacing="1" w:afterAutospacing="1"/>
              <w:jc w:val="right"/>
            </w:pPr>
            <w:r>
              <w:rPr>
                <w:color w:val="000000"/>
              </w:rPr>
              <w:t>0</w:t>
            </w:r>
          </w:p>
        </w:tc>
        <w:tc>
          <w:tcPr>
            <w:tcW w:w="1466" w:type="dxa"/>
            <w:vAlign w:val="bottom"/>
          </w:tcPr>
          <w:p w14:paraId="6DD98C88" w14:textId="77777777" w:rsidR="003B314F" w:rsidRDefault="001764E9">
            <w:pPr>
              <w:spacing w:beforeAutospacing="1" w:afterAutospacing="1"/>
              <w:jc w:val="right"/>
            </w:pPr>
            <w:r>
              <w:rPr>
                <w:color w:val="000000"/>
              </w:rPr>
              <w:t>0</w:t>
            </w:r>
          </w:p>
        </w:tc>
        <w:tc>
          <w:tcPr>
            <w:tcW w:w="1466" w:type="dxa"/>
            <w:vAlign w:val="bottom"/>
          </w:tcPr>
          <w:p w14:paraId="4DF11CDD" w14:textId="77777777" w:rsidR="003B314F" w:rsidRDefault="001764E9">
            <w:pPr>
              <w:spacing w:beforeAutospacing="1" w:afterAutospacing="1"/>
              <w:jc w:val="right"/>
            </w:pPr>
            <w:r>
              <w:rPr>
                <w:color w:val="000000"/>
              </w:rPr>
              <w:t>0</w:t>
            </w:r>
          </w:p>
        </w:tc>
        <w:tc>
          <w:tcPr>
            <w:tcW w:w="1466" w:type="dxa"/>
            <w:vAlign w:val="bottom"/>
          </w:tcPr>
          <w:p w14:paraId="35ED3403" w14:textId="77777777" w:rsidR="003B314F" w:rsidRDefault="001764E9">
            <w:pPr>
              <w:spacing w:beforeAutospacing="1" w:afterAutospacing="1"/>
              <w:jc w:val="right"/>
            </w:pPr>
            <w:r>
              <w:rPr>
                <w:color w:val="000000"/>
              </w:rPr>
              <w:t>0</w:t>
            </w:r>
          </w:p>
        </w:tc>
        <w:tc>
          <w:tcPr>
            <w:tcW w:w="1466" w:type="dxa"/>
            <w:vAlign w:val="bottom"/>
          </w:tcPr>
          <w:p w14:paraId="67F115E1" w14:textId="77777777" w:rsidR="003B314F" w:rsidRDefault="001764E9">
            <w:pPr>
              <w:spacing w:beforeAutospacing="1" w:afterAutospacing="1"/>
              <w:jc w:val="right"/>
            </w:pPr>
            <w:r>
              <w:rPr>
                <w:color w:val="000000"/>
              </w:rPr>
              <w:t>0</w:t>
            </w:r>
          </w:p>
        </w:tc>
      </w:tr>
    </w:tbl>
    <w:p w14:paraId="299A5B37" w14:textId="77777777" w:rsidR="003B314F" w:rsidRDefault="001764E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Match Contribution for the Federal Fiscal Year</w:t>
      </w:r>
    </w:p>
    <w:p w14:paraId="21AA070D" w14:textId="77777777" w:rsidR="003B314F" w:rsidRDefault="003B314F"/>
    <w:p w14:paraId="12DD4ECC" w14:textId="77777777" w:rsidR="003B314F" w:rsidRDefault="001764E9">
      <w:pPr>
        <w:widowControl w:val="0"/>
        <w:spacing w:line="204" w:lineRule="auto"/>
        <w:rPr>
          <w:b/>
          <w:sz w:val="24"/>
          <w:szCs w:val="24"/>
        </w:rPr>
      </w:pPr>
      <w:r>
        <w:rPr>
          <w:b/>
          <w:sz w:val="24"/>
          <w:szCs w:val="24"/>
        </w:rPr>
        <w:t>HOME MBE/WBE report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89"/>
        <w:gridCol w:w="2590"/>
        <w:gridCol w:w="2590"/>
        <w:gridCol w:w="2590"/>
        <w:gridCol w:w="2591"/>
      </w:tblGrid>
      <w:tr w:rsidR="003B314F" w14:paraId="4D8537BA" w14:textId="77777777">
        <w:trPr>
          <w:cantSplit/>
          <w:tblHeader/>
        </w:trPr>
        <w:tc>
          <w:tcPr>
            <w:tcW w:w="13176" w:type="dxa"/>
            <w:gridSpan w:val="5"/>
          </w:tcPr>
          <w:p w14:paraId="4F24B01D" w14:textId="77777777" w:rsidR="003B314F" w:rsidRDefault="001764E9">
            <w:pPr>
              <w:keepNext/>
              <w:widowControl w:val="0"/>
              <w:spacing w:after="0" w:line="240" w:lineRule="auto"/>
              <w:rPr>
                <w:b/>
              </w:rPr>
            </w:pPr>
            <w:r>
              <w:rPr>
                <w:b/>
              </w:rPr>
              <w:t xml:space="preserve">Program Income </w:t>
            </w:r>
            <w:r>
              <w:t>– Enter the program amounts for the reporting period</w:t>
            </w:r>
          </w:p>
        </w:tc>
      </w:tr>
      <w:tr w:rsidR="003B314F" w14:paraId="4C8AB2A6" w14:textId="77777777">
        <w:trPr>
          <w:cantSplit/>
          <w:tblHeader/>
        </w:trPr>
        <w:tc>
          <w:tcPr>
            <w:tcW w:w="2635" w:type="dxa"/>
          </w:tcPr>
          <w:p w14:paraId="0AB7C9B1" w14:textId="77777777" w:rsidR="003B314F" w:rsidRDefault="001764E9">
            <w:pPr>
              <w:keepNext/>
              <w:spacing w:after="0" w:line="240" w:lineRule="auto"/>
              <w:jc w:val="center"/>
              <w:rPr>
                <w:b/>
              </w:rPr>
            </w:pPr>
            <w:r>
              <w:rPr>
                <w:b/>
              </w:rPr>
              <w:t xml:space="preserve">Balance on hand at </w:t>
            </w:r>
            <w:proofErr w:type="gramStart"/>
            <w:r>
              <w:rPr>
                <w:b/>
              </w:rPr>
              <w:t>begin-</w:t>
            </w:r>
            <w:proofErr w:type="spellStart"/>
            <w:r>
              <w:rPr>
                <w:b/>
              </w:rPr>
              <w:t>ning</w:t>
            </w:r>
            <w:proofErr w:type="spellEnd"/>
            <w:proofErr w:type="gramEnd"/>
            <w:r>
              <w:rPr>
                <w:b/>
              </w:rPr>
              <w:t xml:space="preserve"> of reporting period</w:t>
            </w:r>
          </w:p>
          <w:p w14:paraId="47C14D16" w14:textId="77777777" w:rsidR="003B314F" w:rsidRDefault="001764E9">
            <w:pPr>
              <w:keepNext/>
              <w:spacing w:after="0" w:line="240" w:lineRule="auto"/>
              <w:jc w:val="center"/>
              <w:rPr>
                <w:b/>
              </w:rPr>
            </w:pPr>
            <w:r>
              <w:rPr>
                <w:b/>
              </w:rPr>
              <w:t>$</w:t>
            </w:r>
          </w:p>
        </w:tc>
        <w:tc>
          <w:tcPr>
            <w:tcW w:w="2635" w:type="dxa"/>
          </w:tcPr>
          <w:p w14:paraId="5DB73143" w14:textId="77777777" w:rsidR="003B314F" w:rsidRDefault="001764E9">
            <w:pPr>
              <w:keepNext/>
              <w:spacing w:after="0" w:line="240" w:lineRule="auto"/>
              <w:jc w:val="center"/>
              <w:rPr>
                <w:b/>
              </w:rPr>
            </w:pPr>
            <w:r>
              <w:rPr>
                <w:b/>
              </w:rPr>
              <w:t>Amount received during reporting period</w:t>
            </w:r>
          </w:p>
          <w:p w14:paraId="57E9C33C" w14:textId="77777777" w:rsidR="003B314F" w:rsidRDefault="001764E9">
            <w:pPr>
              <w:keepNext/>
              <w:spacing w:after="0" w:line="240" w:lineRule="auto"/>
              <w:jc w:val="center"/>
              <w:rPr>
                <w:b/>
              </w:rPr>
            </w:pPr>
            <w:r>
              <w:rPr>
                <w:b/>
              </w:rPr>
              <w:t>$</w:t>
            </w:r>
          </w:p>
        </w:tc>
        <w:tc>
          <w:tcPr>
            <w:tcW w:w="2635" w:type="dxa"/>
          </w:tcPr>
          <w:p w14:paraId="3DF3C437" w14:textId="77777777" w:rsidR="003B314F" w:rsidRDefault="001764E9">
            <w:pPr>
              <w:keepNext/>
              <w:spacing w:after="0" w:line="240" w:lineRule="auto"/>
              <w:jc w:val="center"/>
              <w:rPr>
                <w:b/>
              </w:rPr>
            </w:pPr>
            <w:r>
              <w:rPr>
                <w:b/>
              </w:rPr>
              <w:t>Total amount expended during reporting period</w:t>
            </w:r>
          </w:p>
          <w:p w14:paraId="4BBB4FA4" w14:textId="77777777" w:rsidR="003B314F" w:rsidRDefault="001764E9">
            <w:pPr>
              <w:keepNext/>
              <w:spacing w:after="0" w:line="240" w:lineRule="auto"/>
              <w:jc w:val="center"/>
              <w:rPr>
                <w:b/>
              </w:rPr>
            </w:pPr>
            <w:r>
              <w:rPr>
                <w:b/>
              </w:rPr>
              <w:t>$</w:t>
            </w:r>
          </w:p>
        </w:tc>
        <w:tc>
          <w:tcPr>
            <w:tcW w:w="2635" w:type="dxa"/>
          </w:tcPr>
          <w:p w14:paraId="6BEB225D" w14:textId="77777777" w:rsidR="003B314F" w:rsidRDefault="001764E9">
            <w:pPr>
              <w:keepNext/>
              <w:spacing w:after="0" w:line="240" w:lineRule="auto"/>
              <w:jc w:val="center"/>
              <w:rPr>
                <w:b/>
              </w:rPr>
            </w:pPr>
            <w:r>
              <w:rPr>
                <w:b/>
              </w:rPr>
              <w:t>Amount expended for TBRA</w:t>
            </w:r>
          </w:p>
          <w:p w14:paraId="3692372E" w14:textId="77777777" w:rsidR="003B314F" w:rsidRDefault="001764E9">
            <w:pPr>
              <w:keepNext/>
              <w:spacing w:after="0" w:line="240" w:lineRule="auto"/>
              <w:jc w:val="center"/>
              <w:rPr>
                <w:b/>
              </w:rPr>
            </w:pPr>
            <w:r>
              <w:rPr>
                <w:b/>
              </w:rPr>
              <w:t>$</w:t>
            </w:r>
          </w:p>
        </w:tc>
        <w:tc>
          <w:tcPr>
            <w:tcW w:w="2636" w:type="dxa"/>
          </w:tcPr>
          <w:p w14:paraId="225BC10C" w14:textId="77777777" w:rsidR="003B314F" w:rsidRDefault="001764E9">
            <w:pPr>
              <w:keepNext/>
              <w:spacing w:after="0" w:line="240" w:lineRule="auto"/>
              <w:jc w:val="center"/>
              <w:rPr>
                <w:b/>
              </w:rPr>
            </w:pPr>
            <w:r>
              <w:rPr>
                <w:b/>
              </w:rPr>
              <w:t>Balance on hand at end of reporting period</w:t>
            </w:r>
          </w:p>
          <w:p w14:paraId="35099AF7" w14:textId="77777777" w:rsidR="003B314F" w:rsidRDefault="001764E9">
            <w:pPr>
              <w:keepNext/>
              <w:spacing w:after="0" w:line="240" w:lineRule="auto"/>
              <w:jc w:val="center"/>
              <w:rPr>
                <w:b/>
              </w:rPr>
            </w:pPr>
            <w:r>
              <w:rPr>
                <w:b/>
              </w:rPr>
              <w:t>$</w:t>
            </w:r>
          </w:p>
        </w:tc>
      </w:tr>
      <w:tr w:rsidR="003B314F" w14:paraId="0AE48217" w14:textId="77777777">
        <w:trPr>
          <w:cantSplit/>
        </w:trPr>
        <w:tc>
          <w:tcPr>
            <w:tcW w:w="2637" w:type="dxa"/>
            <w:vAlign w:val="bottom"/>
          </w:tcPr>
          <w:p w14:paraId="7FF457A1" w14:textId="77777777" w:rsidR="003B314F" w:rsidRDefault="001764E9">
            <w:pPr>
              <w:spacing w:beforeAutospacing="1" w:afterAutospacing="1"/>
              <w:jc w:val="right"/>
            </w:pPr>
            <w:r>
              <w:rPr>
                <w:color w:val="000000"/>
              </w:rPr>
              <w:t>0</w:t>
            </w:r>
          </w:p>
        </w:tc>
        <w:tc>
          <w:tcPr>
            <w:tcW w:w="2638" w:type="dxa"/>
            <w:vAlign w:val="bottom"/>
          </w:tcPr>
          <w:p w14:paraId="5BD2A6B6" w14:textId="77777777" w:rsidR="003B314F" w:rsidRDefault="001764E9">
            <w:pPr>
              <w:spacing w:beforeAutospacing="1" w:afterAutospacing="1"/>
              <w:jc w:val="right"/>
            </w:pPr>
            <w:r>
              <w:rPr>
                <w:color w:val="000000"/>
              </w:rPr>
              <w:t>0</w:t>
            </w:r>
          </w:p>
        </w:tc>
        <w:tc>
          <w:tcPr>
            <w:tcW w:w="2638" w:type="dxa"/>
            <w:vAlign w:val="bottom"/>
          </w:tcPr>
          <w:p w14:paraId="3B526B42" w14:textId="77777777" w:rsidR="003B314F" w:rsidRDefault="001764E9">
            <w:pPr>
              <w:spacing w:beforeAutospacing="1" w:afterAutospacing="1"/>
              <w:jc w:val="right"/>
            </w:pPr>
            <w:r>
              <w:rPr>
                <w:color w:val="000000"/>
              </w:rPr>
              <w:t>0</w:t>
            </w:r>
          </w:p>
        </w:tc>
        <w:tc>
          <w:tcPr>
            <w:tcW w:w="2638" w:type="dxa"/>
            <w:vAlign w:val="bottom"/>
          </w:tcPr>
          <w:p w14:paraId="63E9A654" w14:textId="77777777" w:rsidR="003B314F" w:rsidRDefault="001764E9">
            <w:pPr>
              <w:spacing w:beforeAutospacing="1" w:afterAutospacing="1"/>
              <w:jc w:val="right"/>
            </w:pPr>
            <w:r>
              <w:rPr>
                <w:color w:val="000000"/>
              </w:rPr>
              <w:t>0</w:t>
            </w:r>
          </w:p>
        </w:tc>
        <w:tc>
          <w:tcPr>
            <w:tcW w:w="2639" w:type="dxa"/>
            <w:vAlign w:val="bottom"/>
          </w:tcPr>
          <w:p w14:paraId="159EDF2D" w14:textId="77777777" w:rsidR="003B314F" w:rsidRDefault="001764E9">
            <w:pPr>
              <w:spacing w:beforeAutospacing="1" w:afterAutospacing="1"/>
              <w:jc w:val="right"/>
            </w:pPr>
            <w:r>
              <w:rPr>
                <w:color w:val="000000"/>
              </w:rPr>
              <w:t>0</w:t>
            </w:r>
          </w:p>
        </w:tc>
      </w:tr>
    </w:tbl>
    <w:p w14:paraId="7B5F5D6E" w14:textId="77777777" w:rsidR="003B314F" w:rsidRDefault="001764E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Program Income</w:t>
      </w:r>
    </w:p>
    <w:p w14:paraId="14904431" w14:textId="77777777" w:rsidR="003B314F" w:rsidRDefault="003B314F">
      <w:pPr>
        <w:widowControl w:val="0"/>
        <w:spacing w:after="0" w:line="240" w:lineRule="auto"/>
        <w:rPr>
          <w:b/>
          <w:sz w:val="20"/>
          <w:szCs w:val="20"/>
        </w:rPr>
      </w:pPr>
    </w:p>
    <w:p w14:paraId="7D94CFC2" w14:textId="77777777" w:rsidR="003B314F" w:rsidRDefault="003B314F">
      <w:pPr>
        <w:widowControl w:val="0"/>
        <w:spacing w:after="0" w:line="240" w:lineRule="auto"/>
        <w:jc w:val="center"/>
        <w:rPr>
          <w:b/>
          <w:sz w:val="20"/>
          <w:szCs w:val="20"/>
        </w:rPr>
        <w:sectPr w:rsidR="003B314F">
          <w:pgSz w:w="15840" w:h="12240" w:orient="landscape"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B314F" w14:paraId="1E5226B8" w14:textId="77777777">
        <w:tc>
          <w:tcPr>
            <w:tcW w:w="9576" w:type="dxa"/>
          </w:tcPr>
          <w:p w14:paraId="50F33C03" w14:textId="77777777" w:rsidR="003B314F" w:rsidRDefault="001764E9">
            <w:pPr>
              <w:keepNext/>
              <w:widowControl w:val="0"/>
              <w:spacing w:after="0" w:line="240" w:lineRule="auto"/>
              <w:rPr>
                <w:b/>
              </w:rPr>
            </w:pPr>
            <w:r>
              <w:rPr>
                <w:b/>
              </w:rPr>
              <w:lastRenderedPageBreak/>
              <w:t xml:space="preserve">Minority Business Enterprises and Women Business Enterprises – </w:t>
            </w:r>
            <w:r>
              <w:t>Indicate the number and dollar value of contracts for HOME projects completed during the reporting period</w:t>
            </w:r>
          </w:p>
        </w:tc>
      </w:tr>
    </w:tbl>
    <w:p w14:paraId="50A41C56" w14:textId="77777777" w:rsidR="003B314F" w:rsidRDefault="003B314F">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3B314F" w14:paraId="68A8F3E8" w14:textId="77777777">
        <w:trPr>
          <w:cantSplit/>
        </w:trPr>
        <w:tc>
          <w:tcPr>
            <w:tcW w:w="1368" w:type="dxa"/>
            <w:vMerge w:val="restart"/>
          </w:tcPr>
          <w:p w14:paraId="42DFF1A0" w14:textId="77777777" w:rsidR="003B314F" w:rsidRDefault="003B314F">
            <w:pPr>
              <w:keepNext/>
              <w:widowControl w:val="0"/>
              <w:spacing w:after="0" w:line="240" w:lineRule="auto"/>
              <w:rPr>
                <w:b/>
              </w:rPr>
            </w:pPr>
          </w:p>
        </w:tc>
        <w:tc>
          <w:tcPr>
            <w:tcW w:w="1368" w:type="dxa"/>
            <w:vMerge w:val="restart"/>
          </w:tcPr>
          <w:p w14:paraId="24454D8F" w14:textId="77777777" w:rsidR="003B314F" w:rsidRDefault="001764E9">
            <w:pPr>
              <w:keepNext/>
              <w:widowControl w:val="0"/>
              <w:spacing w:after="0" w:line="240" w:lineRule="auto"/>
              <w:jc w:val="center"/>
              <w:rPr>
                <w:b/>
              </w:rPr>
            </w:pPr>
            <w:r>
              <w:rPr>
                <w:b/>
              </w:rPr>
              <w:t>Total</w:t>
            </w:r>
          </w:p>
        </w:tc>
        <w:tc>
          <w:tcPr>
            <w:tcW w:w="5472" w:type="dxa"/>
            <w:gridSpan w:val="4"/>
          </w:tcPr>
          <w:p w14:paraId="11BD36E7" w14:textId="77777777" w:rsidR="003B314F" w:rsidRDefault="001764E9">
            <w:pPr>
              <w:keepNext/>
              <w:widowControl w:val="0"/>
              <w:spacing w:after="0" w:line="240" w:lineRule="auto"/>
              <w:jc w:val="center"/>
              <w:rPr>
                <w:b/>
              </w:rPr>
            </w:pPr>
            <w:r>
              <w:rPr>
                <w:b/>
              </w:rPr>
              <w:t>Minority Business Enterprises</w:t>
            </w:r>
          </w:p>
        </w:tc>
        <w:tc>
          <w:tcPr>
            <w:tcW w:w="1368" w:type="dxa"/>
            <w:vMerge w:val="restart"/>
          </w:tcPr>
          <w:p w14:paraId="22EFE821" w14:textId="77777777" w:rsidR="003B314F" w:rsidRDefault="001764E9">
            <w:pPr>
              <w:keepNext/>
              <w:widowControl w:val="0"/>
              <w:spacing w:after="0" w:line="240" w:lineRule="auto"/>
              <w:jc w:val="center"/>
              <w:rPr>
                <w:b/>
              </w:rPr>
            </w:pPr>
            <w:r>
              <w:rPr>
                <w:b/>
              </w:rPr>
              <w:t xml:space="preserve">White </w:t>
            </w:r>
            <w:proofErr w:type="gramStart"/>
            <w:r>
              <w:rPr>
                <w:b/>
              </w:rPr>
              <w:t>Non-Hispanic</w:t>
            </w:r>
            <w:proofErr w:type="gramEnd"/>
          </w:p>
        </w:tc>
      </w:tr>
      <w:tr w:rsidR="003B314F" w14:paraId="6F38B6E0" w14:textId="77777777">
        <w:trPr>
          <w:cantSplit/>
        </w:trPr>
        <w:tc>
          <w:tcPr>
            <w:tcW w:w="1368" w:type="dxa"/>
            <w:vMerge/>
          </w:tcPr>
          <w:p w14:paraId="34A1F4C8" w14:textId="77777777" w:rsidR="003B314F" w:rsidRDefault="003B314F">
            <w:pPr>
              <w:keepNext/>
              <w:widowControl w:val="0"/>
              <w:spacing w:after="0" w:line="240" w:lineRule="auto"/>
              <w:rPr>
                <w:b/>
              </w:rPr>
            </w:pPr>
          </w:p>
        </w:tc>
        <w:tc>
          <w:tcPr>
            <w:tcW w:w="1368" w:type="dxa"/>
            <w:vMerge/>
          </w:tcPr>
          <w:p w14:paraId="44386CE8" w14:textId="77777777" w:rsidR="003B314F" w:rsidRDefault="003B314F">
            <w:pPr>
              <w:keepNext/>
              <w:widowControl w:val="0"/>
              <w:spacing w:after="0" w:line="240" w:lineRule="auto"/>
              <w:rPr>
                <w:b/>
              </w:rPr>
            </w:pPr>
          </w:p>
        </w:tc>
        <w:tc>
          <w:tcPr>
            <w:tcW w:w="1368" w:type="dxa"/>
          </w:tcPr>
          <w:p w14:paraId="43B6C85D" w14:textId="77777777" w:rsidR="003B314F" w:rsidRDefault="001764E9">
            <w:pPr>
              <w:keepNext/>
              <w:spacing w:after="0" w:line="240" w:lineRule="auto"/>
              <w:jc w:val="center"/>
              <w:rPr>
                <w:b/>
              </w:rPr>
            </w:pPr>
            <w:r>
              <w:rPr>
                <w:b/>
              </w:rPr>
              <w:t>Alaskan Native or American Indian</w:t>
            </w:r>
          </w:p>
        </w:tc>
        <w:tc>
          <w:tcPr>
            <w:tcW w:w="1368" w:type="dxa"/>
          </w:tcPr>
          <w:p w14:paraId="56316795" w14:textId="77777777" w:rsidR="003B314F" w:rsidRDefault="001764E9">
            <w:pPr>
              <w:keepNext/>
              <w:widowControl w:val="0"/>
              <w:spacing w:after="0" w:line="240" w:lineRule="auto"/>
              <w:jc w:val="center"/>
              <w:rPr>
                <w:b/>
              </w:rPr>
            </w:pPr>
            <w:r>
              <w:rPr>
                <w:b/>
              </w:rPr>
              <w:t>Asian or Pacific Islander</w:t>
            </w:r>
          </w:p>
        </w:tc>
        <w:tc>
          <w:tcPr>
            <w:tcW w:w="1368" w:type="dxa"/>
          </w:tcPr>
          <w:p w14:paraId="405FAA20" w14:textId="77777777" w:rsidR="003B314F" w:rsidRDefault="001764E9">
            <w:pPr>
              <w:keepNext/>
              <w:widowControl w:val="0"/>
              <w:spacing w:after="0" w:line="240" w:lineRule="auto"/>
              <w:jc w:val="center"/>
              <w:rPr>
                <w:b/>
              </w:rPr>
            </w:pPr>
            <w:r>
              <w:rPr>
                <w:b/>
              </w:rPr>
              <w:t xml:space="preserve">Black </w:t>
            </w:r>
            <w:proofErr w:type="gramStart"/>
            <w:r>
              <w:rPr>
                <w:b/>
              </w:rPr>
              <w:t>Non-Hispanic</w:t>
            </w:r>
            <w:proofErr w:type="gramEnd"/>
          </w:p>
        </w:tc>
        <w:tc>
          <w:tcPr>
            <w:tcW w:w="1368" w:type="dxa"/>
          </w:tcPr>
          <w:p w14:paraId="310E7627" w14:textId="77777777" w:rsidR="003B314F" w:rsidRDefault="001764E9">
            <w:pPr>
              <w:keepNext/>
              <w:widowControl w:val="0"/>
              <w:spacing w:after="0" w:line="240" w:lineRule="auto"/>
              <w:jc w:val="center"/>
              <w:rPr>
                <w:b/>
              </w:rPr>
            </w:pPr>
            <w:r>
              <w:rPr>
                <w:b/>
              </w:rPr>
              <w:t>Hispanic</w:t>
            </w:r>
          </w:p>
        </w:tc>
        <w:tc>
          <w:tcPr>
            <w:tcW w:w="1368" w:type="dxa"/>
            <w:vMerge/>
          </w:tcPr>
          <w:p w14:paraId="12D7788F" w14:textId="77777777" w:rsidR="003B314F" w:rsidRDefault="003B314F">
            <w:pPr>
              <w:keepNext/>
              <w:widowControl w:val="0"/>
              <w:spacing w:after="0" w:line="240" w:lineRule="auto"/>
              <w:jc w:val="center"/>
              <w:rPr>
                <w:b/>
              </w:rPr>
            </w:pPr>
          </w:p>
        </w:tc>
      </w:tr>
    </w:tbl>
    <w:p w14:paraId="6DCCA0AA" w14:textId="77777777" w:rsidR="003B314F" w:rsidRDefault="003B314F">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3B314F" w14:paraId="53DA5BE9" w14:textId="77777777">
        <w:trPr>
          <w:cantSplit/>
        </w:trPr>
        <w:tc>
          <w:tcPr>
            <w:tcW w:w="9576" w:type="dxa"/>
            <w:gridSpan w:val="7"/>
          </w:tcPr>
          <w:p w14:paraId="5E3C8C2C" w14:textId="77777777" w:rsidR="003B314F" w:rsidRDefault="001764E9">
            <w:pPr>
              <w:keepNext/>
              <w:widowControl w:val="0"/>
              <w:spacing w:after="0" w:line="240" w:lineRule="auto"/>
              <w:rPr>
                <w:b/>
              </w:rPr>
            </w:pPr>
            <w:r>
              <w:rPr>
                <w:b/>
              </w:rPr>
              <w:t>Contracts</w:t>
            </w:r>
          </w:p>
        </w:tc>
      </w:tr>
      <w:tr w:rsidR="003B314F" w14:paraId="1BCA417A" w14:textId="77777777">
        <w:trPr>
          <w:cantSplit/>
          <w:hidden/>
        </w:trPr>
        <w:tc>
          <w:tcPr>
            <w:tcW w:w="1368" w:type="dxa"/>
          </w:tcPr>
          <w:p w14:paraId="7B04D102" w14:textId="77777777" w:rsidR="003B314F" w:rsidRDefault="003B314F">
            <w:pPr>
              <w:keepNext/>
              <w:widowControl w:val="0"/>
              <w:spacing w:after="0" w:line="240" w:lineRule="auto"/>
              <w:rPr>
                <w:b/>
                <w:vanish/>
              </w:rPr>
            </w:pPr>
          </w:p>
        </w:tc>
        <w:tc>
          <w:tcPr>
            <w:tcW w:w="1368" w:type="dxa"/>
          </w:tcPr>
          <w:p w14:paraId="02D331FE" w14:textId="77777777" w:rsidR="003B314F" w:rsidRDefault="003B314F">
            <w:pPr>
              <w:keepNext/>
              <w:widowControl w:val="0"/>
              <w:spacing w:after="0" w:line="240" w:lineRule="auto"/>
              <w:rPr>
                <w:b/>
                <w:vanish/>
              </w:rPr>
            </w:pPr>
          </w:p>
        </w:tc>
        <w:tc>
          <w:tcPr>
            <w:tcW w:w="1368" w:type="dxa"/>
          </w:tcPr>
          <w:p w14:paraId="7B317EEA" w14:textId="77777777" w:rsidR="003B314F" w:rsidRDefault="003B314F">
            <w:pPr>
              <w:keepNext/>
              <w:widowControl w:val="0"/>
              <w:spacing w:after="0" w:line="240" w:lineRule="auto"/>
              <w:rPr>
                <w:b/>
                <w:vanish/>
              </w:rPr>
            </w:pPr>
          </w:p>
        </w:tc>
        <w:tc>
          <w:tcPr>
            <w:tcW w:w="1368" w:type="dxa"/>
          </w:tcPr>
          <w:p w14:paraId="34DEC634" w14:textId="77777777" w:rsidR="003B314F" w:rsidRDefault="003B314F">
            <w:pPr>
              <w:keepNext/>
              <w:widowControl w:val="0"/>
              <w:spacing w:after="0" w:line="240" w:lineRule="auto"/>
              <w:rPr>
                <w:b/>
                <w:vanish/>
              </w:rPr>
            </w:pPr>
          </w:p>
        </w:tc>
        <w:tc>
          <w:tcPr>
            <w:tcW w:w="1368" w:type="dxa"/>
          </w:tcPr>
          <w:p w14:paraId="616698B9" w14:textId="77777777" w:rsidR="003B314F" w:rsidRDefault="003B314F">
            <w:pPr>
              <w:keepNext/>
              <w:widowControl w:val="0"/>
              <w:spacing w:after="0" w:line="240" w:lineRule="auto"/>
              <w:rPr>
                <w:b/>
                <w:vanish/>
              </w:rPr>
            </w:pPr>
          </w:p>
        </w:tc>
        <w:tc>
          <w:tcPr>
            <w:tcW w:w="1368" w:type="dxa"/>
          </w:tcPr>
          <w:p w14:paraId="37FDD743" w14:textId="77777777" w:rsidR="003B314F" w:rsidRDefault="003B314F">
            <w:pPr>
              <w:keepNext/>
              <w:widowControl w:val="0"/>
              <w:spacing w:after="0" w:line="240" w:lineRule="auto"/>
              <w:rPr>
                <w:b/>
                <w:vanish/>
              </w:rPr>
            </w:pPr>
          </w:p>
        </w:tc>
        <w:tc>
          <w:tcPr>
            <w:tcW w:w="1368" w:type="dxa"/>
          </w:tcPr>
          <w:p w14:paraId="2037E7F4" w14:textId="77777777" w:rsidR="003B314F" w:rsidRDefault="003B314F">
            <w:pPr>
              <w:keepNext/>
              <w:widowControl w:val="0"/>
              <w:spacing w:after="0" w:line="240" w:lineRule="auto"/>
              <w:rPr>
                <w:b/>
                <w:vanish/>
              </w:rPr>
            </w:pPr>
          </w:p>
        </w:tc>
      </w:tr>
      <w:tr w:rsidR="003B314F" w14:paraId="5449B125" w14:textId="77777777">
        <w:trPr>
          <w:cantSplit/>
        </w:trPr>
        <w:tc>
          <w:tcPr>
            <w:tcW w:w="1370" w:type="dxa"/>
          </w:tcPr>
          <w:p w14:paraId="393EA3E3" w14:textId="77777777" w:rsidR="003B314F" w:rsidRDefault="001764E9">
            <w:pPr>
              <w:spacing w:beforeAutospacing="1" w:afterAutospacing="1"/>
            </w:pPr>
            <w:r>
              <w:rPr>
                <w:color w:val="000000"/>
              </w:rPr>
              <w:t>Dollar Amount</w:t>
            </w:r>
          </w:p>
        </w:tc>
        <w:tc>
          <w:tcPr>
            <w:tcW w:w="1370" w:type="dxa"/>
            <w:vAlign w:val="bottom"/>
          </w:tcPr>
          <w:p w14:paraId="332208A4" w14:textId="77777777" w:rsidR="003B314F" w:rsidRDefault="001764E9">
            <w:pPr>
              <w:spacing w:beforeAutospacing="1" w:afterAutospacing="1"/>
              <w:jc w:val="right"/>
            </w:pPr>
            <w:r>
              <w:rPr>
                <w:color w:val="000000"/>
              </w:rPr>
              <w:t>0</w:t>
            </w:r>
          </w:p>
        </w:tc>
        <w:tc>
          <w:tcPr>
            <w:tcW w:w="1370" w:type="dxa"/>
            <w:vAlign w:val="bottom"/>
          </w:tcPr>
          <w:p w14:paraId="3BB258DD" w14:textId="77777777" w:rsidR="003B314F" w:rsidRDefault="001764E9">
            <w:pPr>
              <w:spacing w:beforeAutospacing="1" w:afterAutospacing="1"/>
              <w:jc w:val="right"/>
            </w:pPr>
            <w:r>
              <w:rPr>
                <w:color w:val="000000"/>
              </w:rPr>
              <w:t>0</w:t>
            </w:r>
          </w:p>
        </w:tc>
        <w:tc>
          <w:tcPr>
            <w:tcW w:w="1370" w:type="dxa"/>
            <w:vAlign w:val="bottom"/>
          </w:tcPr>
          <w:p w14:paraId="4407F598" w14:textId="77777777" w:rsidR="003B314F" w:rsidRDefault="001764E9">
            <w:pPr>
              <w:spacing w:beforeAutospacing="1" w:afterAutospacing="1"/>
              <w:jc w:val="right"/>
            </w:pPr>
            <w:r>
              <w:rPr>
                <w:color w:val="000000"/>
              </w:rPr>
              <w:t>0</w:t>
            </w:r>
          </w:p>
        </w:tc>
        <w:tc>
          <w:tcPr>
            <w:tcW w:w="1370" w:type="dxa"/>
            <w:vAlign w:val="bottom"/>
          </w:tcPr>
          <w:p w14:paraId="0065A3DC" w14:textId="77777777" w:rsidR="003B314F" w:rsidRDefault="001764E9">
            <w:pPr>
              <w:spacing w:beforeAutospacing="1" w:afterAutospacing="1"/>
              <w:jc w:val="right"/>
            </w:pPr>
            <w:r>
              <w:rPr>
                <w:color w:val="000000"/>
              </w:rPr>
              <w:t>0</w:t>
            </w:r>
          </w:p>
        </w:tc>
        <w:tc>
          <w:tcPr>
            <w:tcW w:w="1370" w:type="dxa"/>
            <w:vAlign w:val="bottom"/>
          </w:tcPr>
          <w:p w14:paraId="564BE804" w14:textId="77777777" w:rsidR="003B314F" w:rsidRDefault="001764E9">
            <w:pPr>
              <w:spacing w:beforeAutospacing="1" w:afterAutospacing="1"/>
              <w:jc w:val="right"/>
            </w:pPr>
            <w:r>
              <w:rPr>
                <w:color w:val="000000"/>
              </w:rPr>
              <w:t>0</w:t>
            </w:r>
          </w:p>
        </w:tc>
        <w:tc>
          <w:tcPr>
            <w:tcW w:w="1370" w:type="dxa"/>
            <w:vAlign w:val="bottom"/>
          </w:tcPr>
          <w:p w14:paraId="3910CB08" w14:textId="77777777" w:rsidR="003B314F" w:rsidRDefault="001764E9">
            <w:pPr>
              <w:spacing w:beforeAutospacing="1" w:afterAutospacing="1"/>
              <w:jc w:val="right"/>
            </w:pPr>
            <w:r>
              <w:rPr>
                <w:color w:val="000000"/>
              </w:rPr>
              <w:t>0</w:t>
            </w:r>
          </w:p>
        </w:tc>
      </w:tr>
      <w:tr w:rsidR="003B314F" w14:paraId="61F16551" w14:textId="77777777">
        <w:trPr>
          <w:cantSplit/>
        </w:trPr>
        <w:tc>
          <w:tcPr>
            <w:tcW w:w="1370" w:type="dxa"/>
          </w:tcPr>
          <w:p w14:paraId="2A1DBDF9" w14:textId="77777777" w:rsidR="003B314F" w:rsidRDefault="001764E9">
            <w:pPr>
              <w:spacing w:beforeAutospacing="1" w:afterAutospacing="1"/>
            </w:pPr>
            <w:r>
              <w:rPr>
                <w:color w:val="000000"/>
              </w:rPr>
              <w:t>Number</w:t>
            </w:r>
          </w:p>
        </w:tc>
        <w:tc>
          <w:tcPr>
            <w:tcW w:w="1370" w:type="dxa"/>
            <w:vAlign w:val="bottom"/>
          </w:tcPr>
          <w:p w14:paraId="520DB1A7" w14:textId="77777777" w:rsidR="003B314F" w:rsidRDefault="001764E9">
            <w:pPr>
              <w:spacing w:beforeAutospacing="1" w:afterAutospacing="1"/>
              <w:jc w:val="right"/>
            </w:pPr>
            <w:r>
              <w:rPr>
                <w:color w:val="000000"/>
              </w:rPr>
              <w:t>0</w:t>
            </w:r>
          </w:p>
        </w:tc>
        <w:tc>
          <w:tcPr>
            <w:tcW w:w="1370" w:type="dxa"/>
            <w:vAlign w:val="bottom"/>
          </w:tcPr>
          <w:p w14:paraId="72653659" w14:textId="77777777" w:rsidR="003B314F" w:rsidRDefault="001764E9">
            <w:pPr>
              <w:spacing w:beforeAutospacing="1" w:afterAutospacing="1"/>
              <w:jc w:val="right"/>
            </w:pPr>
            <w:r>
              <w:rPr>
                <w:color w:val="000000"/>
              </w:rPr>
              <w:t>0</w:t>
            </w:r>
          </w:p>
        </w:tc>
        <w:tc>
          <w:tcPr>
            <w:tcW w:w="1370" w:type="dxa"/>
            <w:vAlign w:val="bottom"/>
          </w:tcPr>
          <w:p w14:paraId="2FE2D6A4" w14:textId="77777777" w:rsidR="003B314F" w:rsidRDefault="001764E9">
            <w:pPr>
              <w:spacing w:beforeAutospacing="1" w:afterAutospacing="1"/>
              <w:jc w:val="right"/>
            </w:pPr>
            <w:r>
              <w:rPr>
                <w:color w:val="000000"/>
              </w:rPr>
              <w:t>0</w:t>
            </w:r>
          </w:p>
        </w:tc>
        <w:tc>
          <w:tcPr>
            <w:tcW w:w="1370" w:type="dxa"/>
            <w:vAlign w:val="bottom"/>
          </w:tcPr>
          <w:p w14:paraId="2C51110B" w14:textId="77777777" w:rsidR="003B314F" w:rsidRDefault="001764E9">
            <w:pPr>
              <w:spacing w:beforeAutospacing="1" w:afterAutospacing="1"/>
              <w:jc w:val="right"/>
            </w:pPr>
            <w:r>
              <w:rPr>
                <w:color w:val="000000"/>
              </w:rPr>
              <w:t>0</w:t>
            </w:r>
          </w:p>
        </w:tc>
        <w:tc>
          <w:tcPr>
            <w:tcW w:w="1370" w:type="dxa"/>
            <w:vAlign w:val="bottom"/>
          </w:tcPr>
          <w:p w14:paraId="3D07A711" w14:textId="77777777" w:rsidR="003B314F" w:rsidRDefault="001764E9">
            <w:pPr>
              <w:spacing w:beforeAutospacing="1" w:afterAutospacing="1"/>
              <w:jc w:val="right"/>
            </w:pPr>
            <w:r>
              <w:rPr>
                <w:color w:val="000000"/>
              </w:rPr>
              <w:t>0</w:t>
            </w:r>
          </w:p>
        </w:tc>
        <w:tc>
          <w:tcPr>
            <w:tcW w:w="1370" w:type="dxa"/>
            <w:vAlign w:val="bottom"/>
          </w:tcPr>
          <w:p w14:paraId="69A1095F" w14:textId="77777777" w:rsidR="003B314F" w:rsidRDefault="001764E9">
            <w:pPr>
              <w:spacing w:beforeAutospacing="1" w:afterAutospacing="1"/>
              <w:jc w:val="right"/>
            </w:pPr>
            <w:r>
              <w:rPr>
                <w:color w:val="000000"/>
              </w:rPr>
              <w:t>0</w:t>
            </w:r>
          </w:p>
        </w:tc>
      </w:tr>
    </w:tbl>
    <w:p w14:paraId="04C8AC2C" w14:textId="77777777" w:rsidR="003B314F" w:rsidRDefault="003B314F">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3B314F" w14:paraId="0915FF54" w14:textId="77777777">
        <w:trPr>
          <w:cantSplit/>
        </w:trPr>
        <w:tc>
          <w:tcPr>
            <w:tcW w:w="9576" w:type="dxa"/>
            <w:gridSpan w:val="7"/>
          </w:tcPr>
          <w:p w14:paraId="2181BC00" w14:textId="77777777" w:rsidR="003B314F" w:rsidRDefault="001764E9">
            <w:pPr>
              <w:keepNext/>
              <w:widowControl w:val="0"/>
              <w:spacing w:after="0" w:line="240" w:lineRule="auto"/>
              <w:rPr>
                <w:b/>
              </w:rPr>
            </w:pPr>
            <w:r>
              <w:rPr>
                <w:b/>
              </w:rPr>
              <w:t>Sub-Contracts</w:t>
            </w:r>
          </w:p>
        </w:tc>
      </w:tr>
      <w:tr w:rsidR="003B314F" w14:paraId="0CB52E99" w14:textId="77777777">
        <w:trPr>
          <w:cantSplit/>
          <w:hidden/>
        </w:trPr>
        <w:tc>
          <w:tcPr>
            <w:tcW w:w="1368" w:type="dxa"/>
          </w:tcPr>
          <w:p w14:paraId="2BF0FD41" w14:textId="77777777" w:rsidR="003B314F" w:rsidRDefault="003B314F">
            <w:pPr>
              <w:keepNext/>
              <w:widowControl w:val="0"/>
              <w:spacing w:after="0" w:line="240" w:lineRule="auto"/>
              <w:rPr>
                <w:b/>
                <w:vanish/>
              </w:rPr>
            </w:pPr>
          </w:p>
        </w:tc>
        <w:tc>
          <w:tcPr>
            <w:tcW w:w="1368" w:type="dxa"/>
          </w:tcPr>
          <w:p w14:paraId="573061E1" w14:textId="77777777" w:rsidR="003B314F" w:rsidRDefault="003B314F">
            <w:pPr>
              <w:keepNext/>
              <w:widowControl w:val="0"/>
              <w:spacing w:after="0" w:line="240" w:lineRule="auto"/>
              <w:rPr>
                <w:b/>
                <w:vanish/>
              </w:rPr>
            </w:pPr>
          </w:p>
        </w:tc>
        <w:tc>
          <w:tcPr>
            <w:tcW w:w="1368" w:type="dxa"/>
          </w:tcPr>
          <w:p w14:paraId="7627E893" w14:textId="77777777" w:rsidR="003B314F" w:rsidRDefault="003B314F">
            <w:pPr>
              <w:keepNext/>
              <w:widowControl w:val="0"/>
              <w:spacing w:after="0" w:line="240" w:lineRule="auto"/>
              <w:rPr>
                <w:b/>
                <w:vanish/>
              </w:rPr>
            </w:pPr>
          </w:p>
        </w:tc>
        <w:tc>
          <w:tcPr>
            <w:tcW w:w="1368" w:type="dxa"/>
          </w:tcPr>
          <w:p w14:paraId="7412488F" w14:textId="77777777" w:rsidR="003B314F" w:rsidRDefault="003B314F">
            <w:pPr>
              <w:keepNext/>
              <w:widowControl w:val="0"/>
              <w:spacing w:after="0" w:line="240" w:lineRule="auto"/>
              <w:rPr>
                <w:b/>
                <w:vanish/>
              </w:rPr>
            </w:pPr>
          </w:p>
        </w:tc>
        <w:tc>
          <w:tcPr>
            <w:tcW w:w="1368" w:type="dxa"/>
          </w:tcPr>
          <w:p w14:paraId="7C768B35" w14:textId="77777777" w:rsidR="003B314F" w:rsidRDefault="003B314F">
            <w:pPr>
              <w:keepNext/>
              <w:widowControl w:val="0"/>
              <w:spacing w:after="0" w:line="240" w:lineRule="auto"/>
              <w:rPr>
                <w:b/>
                <w:vanish/>
              </w:rPr>
            </w:pPr>
          </w:p>
        </w:tc>
        <w:tc>
          <w:tcPr>
            <w:tcW w:w="1368" w:type="dxa"/>
          </w:tcPr>
          <w:p w14:paraId="6AC77ACB" w14:textId="77777777" w:rsidR="003B314F" w:rsidRDefault="003B314F">
            <w:pPr>
              <w:keepNext/>
              <w:widowControl w:val="0"/>
              <w:spacing w:after="0" w:line="240" w:lineRule="auto"/>
              <w:rPr>
                <w:b/>
                <w:vanish/>
              </w:rPr>
            </w:pPr>
          </w:p>
        </w:tc>
        <w:tc>
          <w:tcPr>
            <w:tcW w:w="1368" w:type="dxa"/>
          </w:tcPr>
          <w:p w14:paraId="01BEB868" w14:textId="77777777" w:rsidR="003B314F" w:rsidRDefault="003B314F">
            <w:pPr>
              <w:keepNext/>
              <w:widowControl w:val="0"/>
              <w:spacing w:after="0" w:line="240" w:lineRule="auto"/>
              <w:rPr>
                <w:b/>
                <w:vanish/>
              </w:rPr>
            </w:pPr>
          </w:p>
        </w:tc>
      </w:tr>
      <w:tr w:rsidR="003B314F" w14:paraId="2ECA5B06" w14:textId="77777777">
        <w:trPr>
          <w:cantSplit/>
        </w:trPr>
        <w:tc>
          <w:tcPr>
            <w:tcW w:w="1370" w:type="dxa"/>
          </w:tcPr>
          <w:p w14:paraId="1DC95BA2" w14:textId="77777777" w:rsidR="003B314F" w:rsidRDefault="001764E9">
            <w:pPr>
              <w:spacing w:beforeAutospacing="1" w:afterAutospacing="1"/>
            </w:pPr>
            <w:r>
              <w:rPr>
                <w:color w:val="000000"/>
              </w:rPr>
              <w:t>Number</w:t>
            </w:r>
          </w:p>
        </w:tc>
        <w:tc>
          <w:tcPr>
            <w:tcW w:w="1370" w:type="dxa"/>
            <w:vAlign w:val="bottom"/>
          </w:tcPr>
          <w:p w14:paraId="50CD1B3A" w14:textId="77777777" w:rsidR="003B314F" w:rsidRDefault="001764E9">
            <w:pPr>
              <w:spacing w:beforeAutospacing="1" w:afterAutospacing="1"/>
              <w:jc w:val="right"/>
            </w:pPr>
            <w:r>
              <w:rPr>
                <w:color w:val="000000"/>
              </w:rPr>
              <w:t>0</w:t>
            </w:r>
          </w:p>
        </w:tc>
        <w:tc>
          <w:tcPr>
            <w:tcW w:w="1370" w:type="dxa"/>
            <w:vAlign w:val="bottom"/>
          </w:tcPr>
          <w:p w14:paraId="679A524D" w14:textId="77777777" w:rsidR="003B314F" w:rsidRDefault="001764E9">
            <w:pPr>
              <w:spacing w:beforeAutospacing="1" w:afterAutospacing="1"/>
              <w:jc w:val="right"/>
            </w:pPr>
            <w:r>
              <w:rPr>
                <w:color w:val="000000"/>
              </w:rPr>
              <w:t>0</w:t>
            </w:r>
          </w:p>
        </w:tc>
        <w:tc>
          <w:tcPr>
            <w:tcW w:w="1370" w:type="dxa"/>
            <w:vAlign w:val="bottom"/>
          </w:tcPr>
          <w:p w14:paraId="26544E68" w14:textId="77777777" w:rsidR="003B314F" w:rsidRDefault="001764E9">
            <w:pPr>
              <w:spacing w:beforeAutospacing="1" w:afterAutospacing="1"/>
              <w:jc w:val="right"/>
            </w:pPr>
            <w:r>
              <w:rPr>
                <w:color w:val="000000"/>
              </w:rPr>
              <w:t>0</w:t>
            </w:r>
          </w:p>
        </w:tc>
        <w:tc>
          <w:tcPr>
            <w:tcW w:w="1370" w:type="dxa"/>
            <w:vAlign w:val="bottom"/>
          </w:tcPr>
          <w:p w14:paraId="0B50BDFB" w14:textId="77777777" w:rsidR="003B314F" w:rsidRDefault="001764E9">
            <w:pPr>
              <w:spacing w:beforeAutospacing="1" w:afterAutospacing="1"/>
              <w:jc w:val="right"/>
            </w:pPr>
            <w:r>
              <w:rPr>
                <w:color w:val="000000"/>
              </w:rPr>
              <w:t>0</w:t>
            </w:r>
          </w:p>
        </w:tc>
        <w:tc>
          <w:tcPr>
            <w:tcW w:w="1370" w:type="dxa"/>
            <w:vAlign w:val="bottom"/>
          </w:tcPr>
          <w:p w14:paraId="339503A0" w14:textId="77777777" w:rsidR="003B314F" w:rsidRDefault="001764E9">
            <w:pPr>
              <w:spacing w:beforeAutospacing="1" w:afterAutospacing="1"/>
              <w:jc w:val="right"/>
            </w:pPr>
            <w:r>
              <w:rPr>
                <w:color w:val="000000"/>
              </w:rPr>
              <w:t>0</w:t>
            </w:r>
          </w:p>
        </w:tc>
        <w:tc>
          <w:tcPr>
            <w:tcW w:w="1370" w:type="dxa"/>
            <w:vAlign w:val="bottom"/>
          </w:tcPr>
          <w:p w14:paraId="76B8E8DD" w14:textId="77777777" w:rsidR="003B314F" w:rsidRDefault="001764E9">
            <w:pPr>
              <w:spacing w:beforeAutospacing="1" w:afterAutospacing="1"/>
              <w:jc w:val="right"/>
            </w:pPr>
            <w:r>
              <w:rPr>
                <w:color w:val="000000"/>
              </w:rPr>
              <w:t>0</w:t>
            </w:r>
          </w:p>
        </w:tc>
      </w:tr>
      <w:tr w:rsidR="003B314F" w14:paraId="271FD94F" w14:textId="77777777">
        <w:trPr>
          <w:cantSplit/>
        </w:trPr>
        <w:tc>
          <w:tcPr>
            <w:tcW w:w="1370" w:type="dxa"/>
          </w:tcPr>
          <w:p w14:paraId="2412CF05" w14:textId="77777777" w:rsidR="003B314F" w:rsidRDefault="001764E9">
            <w:pPr>
              <w:spacing w:beforeAutospacing="1" w:afterAutospacing="1"/>
            </w:pPr>
            <w:r>
              <w:rPr>
                <w:color w:val="000000"/>
              </w:rPr>
              <w:t>Dollar Amount</w:t>
            </w:r>
          </w:p>
        </w:tc>
        <w:tc>
          <w:tcPr>
            <w:tcW w:w="1370" w:type="dxa"/>
            <w:vAlign w:val="bottom"/>
          </w:tcPr>
          <w:p w14:paraId="009CC47E" w14:textId="77777777" w:rsidR="003B314F" w:rsidRDefault="001764E9">
            <w:pPr>
              <w:spacing w:beforeAutospacing="1" w:afterAutospacing="1"/>
              <w:jc w:val="right"/>
            </w:pPr>
            <w:r>
              <w:rPr>
                <w:color w:val="000000"/>
              </w:rPr>
              <w:t>0</w:t>
            </w:r>
          </w:p>
        </w:tc>
        <w:tc>
          <w:tcPr>
            <w:tcW w:w="1370" w:type="dxa"/>
            <w:vAlign w:val="bottom"/>
          </w:tcPr>
          <w:p w14:paraId="192AC8CD" w14:textId="77777777" w:rsidR="003B314F" w:rsidRDefault="001764E9">
            <w:pPr>
              <w:spacing w:beforeAutospacing="1" w:afterAutospacing="1"/>
              <w:jc w:val="right"/>
            </w:pPr>
            <w:r>
              <w:rPr>
                <w:color w:val="000000"/>
              </w:rPr>
              <w:t>0</w:t>
            </w:r>
          </w:p>
        </w:tc>
        <w:tc>
          <w:tcPr>
            <w:tcW w:w="1370" w:type="dxa"/>
            <w:vAlign w:val="bottom"/>
          </w:tcPr>
          <w:p w14:paraId="19662EB4" w14:textId="77777777" w:rsidR="003B314F" w:rsidRDefault="001764E9">
            <w:pPr>
              <w:spacing w:beforeAutospacing="1" w:afterAutospacing="1"/>
              <w:jc w:val="right"/>
            </w:pPr>
            <w:r>
              <w:rPr>
                <w:color w:val="000000"/>
              </w:rPr>
              <w:t>0</w:t>
            </w:r>
          </w:p>
        </w:tc>
        <w:tc>
          <w:tcPr>
            <w:tcW w:w="1370" w:type="dxa"/>
            <w:vAlign w:val="bottom"/>
          </w:tcPr>
          <w:p w14:paraId="001A6049" w14:textId="77777777" w:rsidR="003B314F" w:rsidRDefault="001764E9">
            <w:pPr>
              <w:spacing w:beforeAutospacing="1" w:afterAutospacing="1"/>
              <w:jc w:val="right"/>
            </w:pPr>
            <w:r>
              <w:rPr>
                <w:color w:val="000000"/>
              </w:rPr>
              <w:t>0</w:t>
            </w:r>
          </w:p>
        </w:tc>
        <w:tc>
          <w:tcPr>
            <w:tcW w:w="1370" w:type="dxa"/>
            <w:vAlign w:val="bottom"/>
          </w:tcPr>
          <w:p w14:paraId="0EEC84C9" w14:textId="77777777" w:rsidR="003B314F" w:rsidRDefault="001764E9">
            <w:pPr>
              <w:spacing w:beforeAutospacing="1" w:afterAutospacing="1"/>
              <w:jc w:val="right"/>
            </w:pPr>
            <w:r>
              <w:rPr>
                <w:color w:val="000000"/>
              </w:rPr>
              <w:t>0</w:t>
            </w:r>
          </w:p>
        </w:tc>
        <w:tc>
          <w:tcPr>
            <w:tcW w:w="1370" w:type="dxa"/>
            <w:vAlign w:val="bottom"/>
          </w:tcPr>
          <w:p w14:paraId="22AECDF4" w14:textId="77777777" w:rsidR="003B314F" w:rsidRDefault="001764E9">
            <w:pPr>
              <w:spacing w:beforeAutospacing="1" w:afterAutospacing="1"/>
              <w:jc w:val="right"/>
            </w:pPr>
            <w:r>
              <w:rPr>
                <w:color w:val="000000"/>
              </w:rPr>
              <w:t>0</w:t>
            </w:r>
          </w:p>
        </w:tc>
      </w:tr>
    </w:tbl>
    <w:p w14:paraId="0BE080E5" w14:textId="77777777" w:rsidR="003B314F" w:rsidRDefault="003B314F">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7"/>
        <w:gridCol w:w="1337"/>
        <w:gridCol w:w="1337"/>
        <w:gridCol w:w="1337"/>
      </w:tblGrid>
      <w:tr w:rsidR="003B314F" w14:paraId="0350B991" w14:textId="77777777">
        <w:trPr>
          <w:cantSplit/>
        </w:trPr>
        <w:tc>
          <w:tcPr>
            <w:tcW w:w="1394" w:type="dxa"/>
          </w:tcPr>
          <w:p w14:paraId="3EBD98D3" w14:textId="77777777" w:rsidR="003B314F" w:rsidRDefault="003B314F">
            <w:pPr>
              <w:keepNext/>
              <w:widowControl w:val="0"/>
              <w:spacing w:after="0" w:line="240" w:lineRule="auto"/>
              <w:rPr>
                <w:b/>
              </w:rPr>
            </w:pPr>
          </w:p>
        </w:tc>
        <w:tc>
          <w:tcPr>
            <w:tcW w:w="1393" w:type="dxa"/>
          </w:tcPr>
          <w:p w14:paraId="0A9CA302" w14:textId="77777777" w:rsidR="003B314F" w:rsidRDefault="001764E9">
            <w:pPr>
              <w:keepNext/>
              <w:widowControl w:val="0"/>
              <w:spacing w:after="0" w:line="240" w:lineRule="auto"/>
              <w:jc w:val="center"/>
              <w:rPr>
                <w:b/>
              </w:rPr>
            </w:pPr>
            <w:r>
              <w:rPr>
                <w:b/>
              </w:rPr>
              <w:t>Total</w:t>
            </w:r>
          </w:p>
        </w:tc>
        <w:tc>
          <w:tcPr>
            <w:tcW w:w="1393" w:type="dxa"/>
          </w:tcPr>
          <w:p w14:paraId="36263ABA" w14:textId="77777777" w:rsidR="003B314F" w:rsidRDefault="001764E9">
            <w:pPr>
              <w:keepNext/>
              <w:widowControl w:val="0"/>
              <w:spacing w:after="0" w:line="240" w:lineRule="auto"/>
              <w:jc w:val="center"/>
              <w:rPr>
                <w:b/>
                <w:szCs w:val="24"/>
              </w:rPr>
            </w:pPr>
            <w:r>
              <w:rPr>
                <w:b/>
              </w:rPr>
              <w:t>Women Business Enterprises</w:t>
            </w:r>
          </w:p>
        </w:tc>
        <w:tc>
          <w:tcPr>
            <w:tcW w:w="1393" w:type="dxa"/>
          </w:tcPr>
          <w:p w14:paraId="73A7B17B" w14:textId="77777777" w:rsidR="003B314F" w:rsidRDefault="001764E9">
            <w:pPr>
              <w:keepNext/>
              <w:widowControl w:val="0"/>
              <w:spacing w:after="0" w:line="240" w:lineRule="auto"/>
              <w:jc w:val="center"/>
              <w:rPr>
                <w:b/>
                <w:szCs w:val="24"/>
              </w:rPr>
            </w:pPr>
            <w:r>
              <w:rPr>
                <w:b/>
              </w:rPr>
              <w:t>Male</w:t>
            </w:r>
          </w:p>
        </w:tc>
      </w:tr>
    </w:tbl>
    <w:p w14:paraId="4AEBA925" w14:textId="77777777" w:rsidR="003B314F" w:rsidRDefault="003B314F">
      <w:pPr>
        <w:keepNext/>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3B314F" w14:paraId="13659FC1" w14:textId="77777777">
        <w:trPr>
          <w:cantSplit/>
        </w:trPr>
        <w:tc>
          <w:tcPr>
            <w:tcW w:w="5485" w:type="dxa"/>
            <w:gridSpan w:val="4"/>
          </w:tcPr>
          <w:p w14:paraId="4DC4D67F" w14:textId="77777777" w:rsidR="003B314F" w:rsidRDefault="001764E9">
            <w:pPr>
              <w:keepNext/>
              <w:widowControl w:val="0"/>
              <w:spacing w:after="0" w:line="240" w:lineRule="auto"/>
              <w:rPr>
                <w:b/>
              </w:rPr>
            </w:pPr>
            <w:r>
              <w:rPr>
                <w:b/>
              </w:rPr>
              <w:t>Contracts</w:t>
            </w:r>
          </w:p>
        </w:tc>
      </w:tr>
      <w:tr w:rsidR="003B314F" w14:paraId="50A5DEBB" w14:textId="77777777">
        <w:trPr>
          <w:cantSplit/>
          <w:hidden/>
        </w:trPr>
        <w:tc>
          <w:tcPr>
            <w:tcW w:w="1393" w:type="dxa"/>
          </w:tcPr>
          <w:p w14:paraId="3CAE6BE1" w14:textId="77777777" w:rsidR="003B314F" w:rsidRDefault="003B314F">
            <w:pPr>
              <w:keepNext/>
              <w:widowControl w:val="0"/>
              <w:spacing w:after="0" w:line="240" w:lineRule="auto"/>
              <w:rPr>
                <w:b/>
                <w:vanish/>
              </w:rPr>
            </w:pPr>
          </w:p>
        </w:tc>
        <w:tc>
          <w:tcPr>
            <w:tcW w:w="1364" w:type="dxa"/>
          </w:tcPr>
          <w:p w14:paraId="0A6D7C7F" w14:textId="77777777" w:rsidR="003B314F" w:rsidRDefault="003B314F">
            <w:pPr>
              <w:keepNext/>
              <w:widowControl w:val="0"/>
              <w:spacing w:after="0" w:line="240" w:lineRule="auto"/>
              <w:rPr>
                <w:b/>
                <w:vanish/>
              </w:rPr>
            </w:pPr>
          </w:p>
        </w:tc>
        <w:tc>
          <w:tcPr>
            <w:tcW w:w="1364" w:type="dxa"/>
          </w:tcPr>
          <w:p w14:paraId="254DBAE0" w14:textId="77777777" w:rsidR="003B314F" w:rsidRDefault="003B314F">
            <w:pPr>
              <w:keepNext/>
              <w:widowControl w:val="0"/>
              <w:spacing w:after="0" w:line="240" w:lineRule="auto"/>
              <w:rPr>
                <w:b/>
                <w:vanish/>
              </w:rPr>
            </w:pPr>
          </w:p>
        </w:tc>
        <w:tc>
          <w:tcPr>
            <w:tcW w:w="1364" w:type="dxa"/>
          </w:tcPr>
          <w:p w14:paraId="3206F9B2" w14:textId="77777777" w:rsidR="003B314F" w:rsidRDefault="003B314F">
            <w:pPr>
              <w:keepNext/>
              <w:widowControl w:val="0"/>
              <w:spacing w:after="0" w:line="240" w:lineRule="auto"/>
              <w:rPr>
                <w:b/>
                <w:vanish/>
              </w:rPr>
            </w:pPr>
          </w:p>
        </w:tc>
      </w:tr>
      <w:tr w:rsidR="003B314F" w14:paraId="05022B70" w14:textId="77777777">
        <w:trPr>
          <w:cantSplit/>
        </w:trPr>
        <w:tc>
          <w:tcPr>
            <w:tcW w:w="1393" w:type="dxa"/>
          </w:tcPr>
          <w:p w14:paraId="065E8733" w14:textId="77777777" w:rsidR="003B314F" w:rsidRDefault="001764E9">
            <w:pPr>
              <w:spacing w:beforeAutospacing="1" w:afterAutospacing="1"/>
            </w:pPr>
            <w:r>
              <w:rPr>
                <w:color w:val="000000"/>
              </w:rPr>
              <w:t>Dollar Amount</w:t>
            </w:r>
          </w:p>
        </w:tc>
        <w:tc>
          <w:tcPr>
            <w:tcW w:w="1364" w:type="dxa"/>
            <w:vAlign w:val="bottom"/>
          </w:tcPr>
          <w:p w14:paraId="73756C24" w14:textId="77777777" w:rsidR="003B314F" w:rsidRDefault="001764E9">
            <w:pPr>
              <w:spacing w:beforeAutospacing="1" w:afterAutospacing="1"/>
              <w:jc w:val="right"/>
            </w:pPr>
            <w:r>
              <w:rPr>
                <w:color w:val="000000"/>
              </w:rPr>
              <w:t>0</w:t>
            </w:r>
          </w:p>
        </w:tc>
        <w:tc>
          <w:tcPr>
            <w:tcW w:w="1364" w:type="dxa"/>
            <w:vAlign w:val="bottom"/>
          </w:tcPr>
          <w:p w14:paraId="7AC29F41" w14:textId="77777777" w:rsidR="003B314F" w:rsidRDefault="001764E9">
            <w:pPr>
              <w:spacing w:beforeAutospacing="1" w:afterAutospacing="1"/>
              <w:jc w:val="right"/>
            </w:pPr>
            <w:r>
              <w:rPr>
                <w:color w:val="000000"/>
              </w:rPr>
              <w:t>0</w:t>
            </w:r>
          </w:p>
        </w:tc>
        <w:tc>
          <w:tcPr>
            <w:tcW w:w="1364" w:type="dxa"/>
            <w:vAlign w:val="bottom"/>
          </w:tcPr>
          <w:p w14:paraId="17647C53" w14:textId="77777777" w:rsidR="003B314F" w:rsidRDefault="001764E9">
            <w:pPr>
              <w:spacing w:beforeAutospacing="1" w:afterAutospacing="1"/>
              <w:jc w:val="right"/>
            </w:pPr>
            <w:r>
              <w:rPr>
                <w:color w:val="000000"/>
              </w:rPr>
              <w:t>0</w:t>
            </w:r>
          </w:p>
        </w:tc>
      </w:tr>
      <w:tr w:rsidR="003B314F" w14:paraId="056BA64C" w14:textId="77777777">
        <w:trPr>
          <w:cantSplit/>
        </w:trPr>
        <w:tc>
          <w:tcPr>
            <w:tcW w:w="1393" w:type="dxa"/>
          </w:tcPr>
          <w:p w14:paraId="3F490C67" w14:textId="77777777" w:rsidR="003B314F" w:rsidRDefault="001764E9">
            <w:pPr>
              <w:spacing w:beforeAutospacing="1" w:afterAutospacing="1"/>
            </w:pPr>
            <w:r>
              <w:rPr>
                <w:color w:val="000000"/>
              </w:rPr>
              <w:t>Number</w:t>
            </w:r>
          </w:p>
        </w:tc>
        <w:tc>
          <w:tcPr>
            <w:tcW w:w="1364" w:type="dxa"/>
            <w:vAlign w:val="bottom"/>
          </w:tcPr>
          <w:p w14:paraId="706DA567" w14:textId="77777777" w:rsidR="003B314F" w:rsidRDefault="001764E9">
            <w:pPr>
              <w:spacing w:beforeAutospacing="1" w:afterAutospacing="1"/>
              <w:jc w:val="right"/>
            </w:pPr>
            <w:r>
              <w:rPr>
                <w:color w:val="000000"/>
              </w:rPr>
              <w:t>0</w:t>
            </w:r>
          </w:p>
        </w:tc>
        <w:tc>
          <w:tcPr>
            <w:tcW w:w="1364" w:type="dxa"/>
            <w:vAlign w:val="bottom"/>
          </w:tcPr>
          <w:p w14:paraId="396F6664" w14:textId="77777777" w:rsidR="003B314F" w:rsidRDefault="001764E9">
            <w:pPr>
              <w:spacing w:beforeAutospacing="1" w:afterAutospacing="1"/>
              <w:jc w:val="right"/>
            </w:pPr>
            <w:r>
              <w:rPr>
                <w:color w:val="000000"/>
              </w:rPr>
              <w:t>0</w:t>
            </w:r>
          </w:p>
        </w:tc>
        <w:tc>
          <w:tcPr>
            <w:tcW w:w="1364" w:type="dxa"/>
            <w:vAlign w:val="bottom"/>
          </w:tcPr>
          <w:p w14:paraId="01B7DB7B" w14:textId="77777777" w:rsidR="003B314F" w:rsidRDefault="001764E9">
            <w:pPr>
              <w:spacing w:beforeAutospacing="1" w:afterAutospacing="1"/>
              <w:jc w:val="right"/>
            </w:pPr>
            <w:r>
              <w:rPr>
                <w:color w:val="000000"/>
              </w:rPr>
              <w:t>0</w:t>
            </w:r>
          </w:p>
        </w:tc>
      </w:tr>
    </w:tbl>
    <w:p w14:paraId="0DD77653" w14:textId="77777777" w:rsidR="003B314F" w:rsidRDefault="003B314F">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3B314F" w14:paraId="29B36853" w14:textId="77777777">
        <w:trPr>
          <w:cantSplit/>
        </w:trPr>
        <w:tc>
          <w:tcPr>
            <w:tcW w:w="5485" w:type="dxa"/>
            <w:gridSpan w:val="4"/>
          </w:tcPr>
          <w:p w14:paraId="1DE307EA" w14:textId="77777777" w:rsidR="003B314F" w:rsidRDefault="001764E9">
            <w:pPr>
              <w:keepNext/>
              <w:widowControl w:val="0"/>
              <w:spacing w:after="0" w:line="240" w:lineRule="auto"/>
              <w:rPr>
                <w:b/>
              </w:rPr>
            </w:pPr>
            <w:r>
              <w:rPr>
                <w:b/>
              </w:rPr>
              <w:t>Sub-Contracts</w:t>
            </w:r>
          </w:p>
        </w:tc>
      </w:tr>
      <w:tr w:rsidR="003B314F" w14:paraId="209832FA" w14:textId="77777777">
        <w:trPr>
          <w:cantSplit/>
          <w:hidden/>
        </w:trPr>
        <w:tc>
          <w:tcPr>
            <w:tcW w:w="1393" w:type="dxa"/>
          </w:tcPr>
          <w:p w14:paraId="62B5FED8" w14:textId="77777777" w:rsidR="003B314F" w:rsidRDefault="003B314F">
            <w:pPr>
              <w:keepNext/>
              <w:widowControl w:val="0"/>
              <w:spacing w:after="0" w:line="240" w:lineRule="auto"/>
              <w:rPr>
                <w:b/>
                <w:vanish/>
              </w:rPr>
            </w:pPr>
          </w:p>
        </w:tc>
        <w:tc>
          <w:tcPr>
            <w:tcW w:w="1364" w:type="dxa"/>
          </w:tcPr>
          <w:p w14:paraId="7AFE9FFC" w14:textId="77777777" w:rsidR="003B314F" w:rsidRDefault="003B314F">
            <w:pPr>
              <w:keepNext/>
              <w:widowControl w:val="0"/>
              <w:spacing w:after="0" w:line="240" w:lineRule="auto"/>
              <w:rPr>
                <w:b/>
                <w:vanish/>
              </w:rPr>
            </w:pPr>
          </w:p>
        </w:tc>
        <w:tc>
          <w:tcPr>
            <w:tcW w:w="1364" w:type="dxa"/>
          </w:tcPr>
          <w:p w14:paraId="154C8448" w14:textId="77777777" w:rsidR="003B314F" w:rsidRDefault="003B314F">
            <w:pPr>
              <w:keepNext/>
              <w:widowControl w:val="0"/>
              <w:spacing w:after="0" w:line="240" w:lineRule="auto"/>
              <w:rPr>
                <w:b/>
                <w:vanish/>
              </w:rPr>
            </w:pPr>
          </w:p>
        </w:tc>
        <w:tc>
          <w:tcPr>
            <w:tcW w:w="1364" w:type="dxa"/>
          </w:tcPr>
          <w:p w14:paraId="337B69D7" w14:textId="77777777" w:rsidR="003B314F" w:rsidRDefault="003B314F">
            <w:pPr>
              <w:keepNext/>
              <w:widowControl w:val="0"/>
              <w:spacing w:after="0" w:line="240" w:lineRule="auto"/>
              <w:rPr>
                <w:b/>
                <w:vanish/>
              </w:rPr>
            </w:pPr>
          </w:p>
        </w:tc>
      </w:tr>
      <w:tr w:rsidR="003B314F" w14:paraId="1FF0B101" w14:textId="77777777">
        <w:trPr>
          <w:cantSplit/>
        </w:trPr>
        <w:tc>
          <w:tcPr>
            <w:tcW w:w="1393" w:type="dxa"/>
          </w:tcPr>
          <w:p w14:paraId="09E85A72" w14:textId="77777777" w:rsidR="003B314F" w:rsidRDefault="001764E9">
            <w:pPr>
              <w:spacing w:beforeAutospacing="1" w:afterAutospacing="1"/>
            </w:pPr>
            <w:r>
              <w:rPr>
                <w:color w:val="000000"/>
              </w:rPr>
              <w:t>Number</w:t>
            </w:r>
          </w:p>
        </w:tc>
        <w:tc>
          <w:tcPr>
            <w:tcW w:w="1364" w:type="dxa"/>
            <w:vAlign w:val="bottom"/>
          </w:tcPr>
          <w:p w14:paraId="31E26EAD" w14:textId="77777777" w:rsidR="003B314F" w:rsidRDefault="001764E9">
            <w:pPr>
              <w:spacing w:beforeAutospacing="1" w:afterAutospacing="1"/>
              <w:jc w:val="right"/>
            </w:pPr>
            <w:r>
              <w:rPr>
                <w:color w:val="000000"/>
              </w:rPr>
              <w:t>0</w:t>
            </w:r>
          </w:p>
        </w:tc>
        <w:tc>
          <w:tcPr>
            <w:tcW w:w="1364" w:type="dxa"/>
            <w:vAlign w:val="bottom"/>
          </w:tcPr>
          <w:p w14:paraId="56BCC394" w14:textId="77777777" w:rsidR="003B314F" w:rsidRDefault="001764E9">
            <w:pPr>
              <w:spacing w:beforeAutospacing="1" w:afterAutospacing="1"/>
              <w:jc w:val="right"/>
            </w:pPr>
            <w:r>
              <w:rPr>
                <w:color w:val="000000"/>
              </w:rPr>
              <w:t>0</w:t>
            </w:r>
          </w:p>
        </w:tc>
        <w:tc>
          <w:tcPr>
            <w:tcW w:w="1364" w:type="dxa"/>
            <w:vAlign w:val="bottom"/>
          </w:tcPr>
          <w:p w14:paraId="22A7F1B7" w14:textId="77777777" w:rsidR="003B314F" w:rsidRDefault="001764E9">
            <w:pPr>
              <w:spacing w:beforeAutospacing="1" w:afterAutospacing="1"/>
              <w:jc w:val="right"/>
            </w:pPr>
            <w:r>
              <w:rPr>
                <w:color w:val="000000"/>
              </w:rPr>
              <w:t>0</w:t>
            </w:r>
          </w:p>
        </w:tc>
      </w:tr>
      <w:tr w:rsidR="003B314F" w14:paraId="258E86A9" w14:textId="77777777">
        <w:trPr>
          <w:cantSplit/>
        </w:trPr>
        <w:tc>
          <w:tcPr>
            <w:tcW w:w="1393" w:type="dxa"/>
          </w:tcPr>
          <w:p w14:paraId="6FC33DB1" w14:textId="77777777" w:rsidR="003B314F" w:rsidRDefault="001764E9">
            <w:pPr>
              <w:spacing w:beforeAutospacing="1" w:afterAutospacing="1"/>
            </w:pPr>
            <w:r>
              <w:rPr>
                <w:color w:val="000000"/>
              </w:rPr>
              <w:t>Dollar Amount</w:t>
            </w:r>
          </w:p>
        </w:tc>
        <w:tc>
          <w:tcPr>
            <w:tcW w:w="1364" w:type="dxa"/>
            <w:vAlign w:val="bottom"/>
          </w:tcPr>
          <w:p w14:paraId="30229056" w14:textId="77777777" w:rsidR="003B314F" w:rsidRDefault="001764E9">
            <w:pPr>
              <w:spacing w:beforeAutospacing="1" w:afterAutospacing="1"/>
              <w:jc w:val="right"/>
            </w:pPr>
            <w:r>
              <w:rPr>
                <w:color w:val="000000"/>
              </w:rPr>
              <w:t>0</w:t>
            </w:r>
          </w:p>
        </w:tc>
        <w:tc>
          <w:tcPr>
            <w:tcW w:w="1364" w:type="dxa"/>
            <w:vAlign w:val="bottom"/>
          </w:tcPr>
          <w:p w14:paraId="3907EF69" w14:textId="77777777" w:rsidR="003B314F" w:rsidRDefault="001764E9">
            <w:pPr>
              <w:spacing w:beforeAutospacing="1" w:afterAutospacing="1"/>
              <w:jc w:val="right"/>
            </w:pPr>
            <w:r>
              <w:rPr>
                <w:color w:val="000000"/>
              </w:rPr>
              <w:t>0</w:t>
            </w:r>
          </w:p>
        </w:tc>
        <w:tc>
          <w:tcPr>
            <w:tcW w:w="1364" w:type="dxa"/>
            <w:vAlign w:val="bottom"/>
          </w:tcPr>
          <w:p w14:paraId="00786385" w14:textId="77777777" w:rsidR="003B314F" w:rsidRDefault="001764E9">
            <w:pPr>
              <w:spacing w:beforeAutospacing="1" w:afterAutospacing="1"/>
              <w:jc w:val="right"/>
            </w:pPr>
            <w:r>
              <w:rPr>
                <w:color w:val="000000"/>
              </w:rPr>
              <w:t>0</w:t>
            </w:r>
          </w:p>
        </w:tc>
      </w:tr>
    </w:tbl>
    <w:p w14:paraId="67D0D4B7" w14:textId="77777777" w:rsidR="003B314F" w:rsidRDefault="001764E9">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Minority Business and Women Business Enterprises</w:t>
      </w:r>
    </w:p>
    <w:p w14:paraId="517D5539" w14:textId="77777777" w:rsidR="003B314F" w:rsidRDefault="003B314F">
      <w:pPr>
        <w:widowControl w:val="0"/>
        <w:spacing w:after="0"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B314F" w14:paraId="0B471049" w14:textId="77777777">
        <w:tc>
          <w:tcPr>
            <w:tcW w:w="9576" w:type="dxa"/>
          </w:tcPr>
          <w:p w14:paraId="503B3AAE" w14:textId="77777777" w:rsidR="003B314F" w:rsidRDefault="001764E9">
            <w:pPr>
              <w:keepNext/>
              <w:widowControl w:val="0"/>
              <w:spacing w:after="0" w:line="240" w:lineRule="auto"/>
              <w:rPr>
                <w:b/>
                <w:szCs w:val="24"/>
              </w:rPr>
            </w:pPr>
            <w:r>
              <w:rPr>
                <w:b/>
              </w:rPr>
              <w:t xml:space="preserve">Minority Owners of Rental Property </w:t>
            </w:r>
            <w:r>
              <w:t>– Indicate the number of HOME assisted rental property owners and the total amount of HOME funds in these rental properties assisted</w:t>
            </w:r>
          </w:p>
        </w:tc>
      </w:tr>
    </w:tbl>
    <w:p w14:paraId="404889A6" w14:textId="77777777" w:rsidR="003B314F" w:rsidRDefault="003B314F">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4"/>
        <w:gridCol w:w="793"/>
        <w:gridCol w:w="1486"/>
        <w:gridCol w:w="1398"/>
        <w:gridCol w:w="1433"/>
        <w:gridCol w:w="1433"/>
        <w:gridCol w:w="1433"/>
      </w:tblGrid>
      <w:tr w:rsidR="003B314F" w14:paraId="6762240A" w14:textId="77777777">
        <w:tc>
          <w:tcPr>
            <w:tcW w:w="1408" w:type="dxa"/>
            <w:vMerge w:val="restart"/>
          </w:tcPr>
          <w:p w14:paraId="39D589EF" w14:textId="77777777" w:rsidR="003B314F" w:rsidRDefault="003B314F">
            <w:pPr>
              <w:keepNext/>
              <w:widowControl w:val="0"/>
              <w:spacing w:after="0" w:line="240" w:lineRule="auto"/>
              <w:jc w:val="center"/>
              <w:rPr>
                <w:b/>
              </w:rPr>
            </w:pPr>
          </w:p>
        </w:tc>
        <w:tc>
          <w:tcPr>
            <w:tcW w:w="809" w:type="dxa"/>
            <w:vMerge w:val="restart"/>
          </w:tcPr>
          <w:p w14:paraId="50196D7D" w14:textId="77777777" w:rsidR="003B314F" w:rsidRDefault="001764E9">
            <w:pPr>
              <w:keepNext/>
              <w:widowControl w:val="0"/>
              <w:spacing w:after="0" w:line="240" w:lineRule="auto"/>
              <w:jc w:val="center"/>
              <w:rPr>
                <w:b/>
              </w:rPr>
            </w:pPr>
            <w:r>
              <w:rPr>
                <w:b/>
              </w:rPr>
              <w:t>Total</w:t>
            </w:r>
          </w:p>
        </w:tc>
        <w:tc>
          <w:tcPr>
            <w:tcW w:w="5891" w:type="dxa"/>
            <w:gridSpan w:val="4"/>
          </w:tcPr>
          <w:p w14:paraId="7A8A422D" w14:textId="77777777" w:rsidR="003B314F" w:rsidRDefault="001764E9">
            <w:pPr>
              <w:keepNext/>
              <w:widowControl w:val="0"/>
              <w:spacing w:after="0" w:line="240" w:lineRule="auto"/>
              <w:jc w:val="center"/>
              <w:rPr>
                <w:b/>
              </w:rPr>
            </w:pPr>
            <w:r>
              <w:rPr>
                <w:b/>
              </w:rPr>
              <w:t>Minority Property Owners</w:t>
            </w:r>
          </w:p>
        </w:tc>
        <w:tc>
          <w:tcPr>
            <w:tcW w:w="1468" w:type="dxa"/>
            <w:vMerge w:val="restart"/>
          </w:tcPr>
          <w:p w14:paraId="2519BC86" w14:textId="77777777" w:rsidR="003B314F" w:rsidRDefault="001764E9">
            <w:pPr>
              <w:keepNext/>
              <w:widowControl w:val="0"/>
              <w:spacing w:after="0" w:line="240" w:lineRule="auto"/>
              <w:jc w:val="center"/>
              <w:rPr>
                <w:b/>
              </w:rPr>
            </w:pPr>
            <w:r>
              <w:rPr>
                <w:b/>
              </w:rPr>
              <w:t xml:space="preserve">White </w:t>
            </w:r>
            <w:proofErr w:type="gramStart"/>
            <w:r>
              <w:rPr>
                <w:b/>
              </w:rPr>
              <w:t>Non-Hispanic</w:t>
            </w:r>
            <w:proofErr w:type="gramEnd"/>
          </w:p>
        </w:tc>
      </w:tr>
      <w:tr w:rsidR="003B314F" w14:paraId="3A917EB9" w14:textId="77777777">
        <w:tc>
          <w:tcPr>
            <w:tcW w:w="1408" w:type="dxa"/>
            <w:vMerge/>
          </w:tcPr>
          <w:p w14:paraId="3B0D78C9" w14:textId="77777777" w:rsidR="003B314F" w:rsidRDefault="003B314F">
            <w:pPr>
              <w:keepNext/>
              <w:widowControl w:val="0"/>
              <w:spacing w:after="0" w:line="240" w:lineRule="auto"/>
              <w:jc w:val="center"/>
              <w:rPr>
                <w:b/>
              </w:rPr>
            </w:pPr>
          </w:p>
        </w:tc>
        <w:tc>
          <w:tcPr>
            <w:tcW w:w="809" w:type="dxa"/>
            <w:vMerge/>
          </w:tcPr>
          <w:p w14:paraId="0EDF991B" w14:textId="77777777" w:rsidR="003B314F" w:rsidRDefault="003B314F">
            <w:pPr>
              <w:keepNext/>
              <w:widowControl w:val="0"/>
              <w:spacing w:after="0" w:line="240" w:lineRule="auto"/>
              <w:jc w:val="center"/>
              <w:rPr>
                <w:b/>
              </w:rPr>
            </w:pPr>
          </w:p>
        </w:tc>
        <w:tc>
          <w:tcPr>
            <w:tcW w:w="1523" w:type="dxa"/>
          </w:tcPr>
          <w:p w14:paraId="33014B5E" w14:textId="77777777" w:rsidR="003B314F" w:rsidRDefault="001764E9">
            <w:pPr>
              <w:keepNext/>
              <w:widowControl w:val="0"/>
              <w:jc w:val="center"/>
              <w:rPr>
                <w:b/>
              </w:rPr>
            </w:pPr>
            <w:r>
              <w:rPr>
                <w:b/>
              </w:rPr>
              <w:t>Alaskan Native or American Indian</w:t>
            </w:r>
          </w:p>
        </w:tc>
        <w:tc>
          <w:tcPr>
            <w:tcW w:w="1432" w:type="dxa"/>
          </w:tcPr>
          <w:p w14:paraId="53B53595" w14:textId="77777777" w:rsidR="003B314F" w:rsidRDefault="001764E9">
            <w:pPr>
              <w:keepNext/>
              <w:widowControl w:val="0"/>
              <w:ind w:right="-28"/>
              <w:jc w:val="center"/>
              <w:rPr>
                <w:b/>
              </w:rPr>
            </w:pPr>
            <w:r>
              <w:rPr>
                <w:b/>
              </w:rPr>
              <w:t>Asian or Pacific Islander</w:t>
            </w:r>
          </w:p>
        </w:tc>
        <w:tc>
          <w:tcPr>
            <w:tcW w:w="1468" w:type="dxa"/>
          </w:tcPr>
          <w:p w14:paraId="69D56633" w14:textId="77777777" w:rsidR="003B314F" w:rsidRDefault="001764E9">
            <w:pPr>
              <w:keepNext/>
              <w:widowControl w:val="0"/>
              <w:jc w:val="center"/>
              <w:rPr>
                <w:b/>
              </w:rPr>
            </w:pPr>
            <w:r>
              <w:rPr>
                <w:b/>
              </w:rPr>
              <w:t xml:space="preserve">Black </w:t>
            </w:r>
            <w:proofErr w:type="gramStart"/>
            <w:r>
              <w:rPr>
                <w:b/>
              </w:rPr>
              <w:t>Non-Hispanic</w:t>
            </w:r>
            <w:proofErr w:type="gramEnd"/>
          </w:p>
        </w:tc>
        <w:tc>
          <w:tcPr>
            <w:tcW w:w="1468" w:type="dxa"/>
          </w:tcPr>
          <w:p w14:paraId="3ABEA0E6" w14:textId="77777777" w:rsidR="003B314F" w:rsidRDefault="001764E9">
            <w:pPr>
              <w:keepNext/>
              <w:widowControl w:val="0"/>
              <w:jc w:val="center"/>
              <w:rPr>
                <w:b/>
              </w:rPr>
            </w:pPr>
            <w:r>
              <w:rPr>
                <w:b/>
              </w:rPr>
              <w:t>Hispanic</w:t>
            </w:r>
          </w:p>
        </w:tc>
        <w:tc>
          <w:tcPr>
            <w:tcW w:w="1468" w:type="dxa"/>
            <w:vMerge/>
          </w:tcPr>
          <w:p w14:paraId="3E2F6063" w14:textId="77777777" w:rsidR="003B314F" w:rsidRDefault="003B314F">
            <w:pPr>
              <w:keepNext/>
              <w:widowControl w:val="0"/>
              <w:spacing w:after="0" w:line="240" w:lineRule="auto"/>
              <w:jc w:val="center"/>
              <w:rPr>
                <w:b/>
              </w:rPr>
            </w:pPr>
          </w:p>
        </w:tc>
      </w:tr>
      <w:tr w:rsidR="003B314F" w14:paraId="1B395DCD" w14:textId="77777777">
        <w:trPr>
          <w:cantSplit/>
        </w:trPr>
        <w:tc>
          <w:tcPr>
            <w:tcW w:w="1411" w:type="dxa"/>
          </w:tcPr>
          <w:p w14:paraId="7AB740FE" w14:textId="77777777" w:rsidR="003B314F" w:rsidRDefault="001764E9">
            <w:pPr>
              <w:spacing w:beforeAutospacing="1" w:afterAutospacing="1"/>
            </w:pPr>
            <w:r>
              <w:rPr>
                <w:color w:val="000000"/>
              </w:rPr>
              <w:t>Number</w:t>
            </w:r>
          </w:p>
        </w:tc>
        <w:tc>
          <w:tcPr>
            <w:tcW w:w="810" w:type="dxa"/>
            <w:vAlign w:val="bottom"/>
          </w:tcPr>
          <w:p w14:paraId="63453C8B" w14:textId="77777777" w:rsidR="003B314F" w:rsidRDefault="001764E9">
            <w:pPr>
              <w:spacing w:beforeAutospacing="1" w:afterAutospacing="1"/>
              <w:jc w:val="right"/>
            </w:pPr>
            <w:r>
              <w:rPr>
                <w:color w:val="000000"/>
              </w:rPr>
              <w:t>0</w:t>
            </w:r>
          </w:p>
        </w:tc>
        <w:tc>
          <w:tcPr>
            <w:tcW w:w="1525" w:type="dxa"/>
            <w:vAlign w:val="bottom"/>
          </w:tcPr>
          <w:p w14:paraId="72308C77" w14:textId="77777777" w:rsidR="003B314F" w:rsidRDefault="001764E9">
            <w:pPr>
              <w:spacing w:beforeAutospacing="1" w:afterAutospacing="1"/>
              <w:jc w:val="right"/>
            </w:pPr>
            <w:r>
              <w:rPr>
                <w:color w:val="000000"/>
              </w:rPr>
              <w:t>0</w:t>
            </w:r>
          </w:p>
        </w:tc>
        <w:tc>
          <w:tcPr>
            <w:tcW w:w="1434" w:type="dxa"/>
            <w:vAlign w:val="bottom"/>
          </w:tcPr>
          <w:p w14:paraId="4B89A79E" w14:textId="77777777" w:rsidR="003B314F" w:rsidRDefault="001764E9">
            <w:pPr>
              <w:spacing w:beforeAutospacing="1" w:afterAutospacing="1"/>
              <w:jc w:val="right"/>
            </w:pPr>
            <w:r>
              <w:rPr>
                <w:color w:val="000000"/>
              </w:rPr>
              <w:t>0</w:t>
            </w:r>
          </w:p>
        </w:tc>
        <w:tc>
          <w:tcPr>
            <w:tcW w:w="1470" w:type="dxa"/>
            <w:vAlign w:val="bottom"/>
          </w:tcPr>
          <w:p w14:paraId="7AF031EF" w14:textId="77777777" w:rsidR="003B314F" w:rsidRDefault="001764E9">
            <w:pPr>
              <w:spacing w:beforeAutospacing="1" w:afterAutospacing="1"/>
              <w:jc w:val="right"/>
            </w:pPr>
            <w:r>
              <w:rPr>
                <w:color w:val="000000"/>
              </w:rPr>
              <w:t>0</w:t>
            </w:r>
          </w:p>
        </w:tc>
        <w:tc>
          <w:tcPr>
            <w:tcW w:w="1470" w:type="dxa"/>
            <w:vAlign w:val="bottom"/>
          </w:tcPr>
          <w:p w14:paraId="6BB8A059" w14:textId="77777777" w:rsidR="003B314F" w:rsidRDefault="001764E9">
            <w:pPr>
              <w:spacing w:beforeAutospacing="1" w:afterAutospacing="1"/>
              <w:jc w:val="right"/>
            </w:pPr>
            <w:r>
              <w:rPr>
                <w:color w:val="000000"/>
              </w:rPr>
              <w:t>0</w:t>
            </w:r>
          </w:p>
        </w:tc>
        <w:tc>
          <w:tcPr>
            <w:tcW w:w="1470" w:type="dxa"/>
            <w:vAlign w:val="bottom"/>
          </w:tcPr>
          <w:p w14:paraId="24EC605C" w14:textId="77777777" w:rsidR="003B314F" w:rsidRDefault="001764E9">
            <w:pPr>
              <w:spacing w:beforeAutospacing="1" w:afterAutospacing="1"/>
              <w:jc w:val="right"/>
            </w:pPr>
            <w:r>
              <w:rPr>
                <w:color w:val="000000"/>
              </w:rPr>
              <w:t>0</w:t>
            </w:r>
          </w:p>
        </w:tc>
      </w:tr>
      <w:tr w:rsidR="003B314F" w14:paraId="69258729" w14:textId="77777777">
        <w:trPr>
          <w:cantSplit/>
        </w:trPr>
        <w:tc>
          <w:tcPr>
            <w:tcW w:w="1411" w:type="dxa"/>
          </w:tcPr>
          <w:p w14:paraId="02D033AE" w14:textId="77777777" w:rsidR="003B314F" w:rsidRDefault="001764E9">
            <w:pPr>
              <w:spacing w:beforeAutospacing="1" w:afterAutospacing="1"/>
            </w:pPr>
            <w:r>
              <w:rPr>
                <w:color w:val="000000"/>
              </w:rPr>
              <w:t>Dollar Amount</w:t>
            </w:r>
          </w:p>
        </w:tc>
        <w:tc>
          <w:tcPr>
            <w:tcW w:w="810" w:type="dxa"/>
            <w:vAlign w:val="bottom"/>
          </w:tcPr>
          <w:p w14:paraId="085B4227" w14:textId="77777777" w:rsidR="003B314F" w:rsidRDefault="001764E9">
            <w:pPr>
              <w:spacing w:beforeAutospacing="1" w:afterAutospacing="1"/>
              <w:jc w:val="right"/>
            </w:pPr>
            <w:r>
              <w:rPr>
                <w:color w:val="000000"/>
              </w:rPr>
              <w:t>0</w:t>
            </w:r>
          </w:p>
        </w:tc>
        <w:tc>
          <w:tcPr>
            <w:tcW w:w="1525" w:type="dxa"/>
            <w:vAlign w:val="bottom"/>
          </w:tcPr>
          <w:p w14:paraId="30057E87" w14:textId="77777777" w:rsidR="003B314F" w:rsidRDefault="001764E9">
            <w:pPr>
              <w:spacing w:beforeAutospacing="1" w:afterAutospacing="1"/>
              <w:jc w:val="right"/>
            </w:pPr>
            <w:r>
              <w:rPr>
                <w:color w:val="000000"/>
              </w:rPr>
              <w:t>0</w:t>
            </w:r>
          </w:p>
        </w:tc>
        <w:tc>
          <w:tcPr>
            <w:tcW w:w="1434" w:type="dxa"/>
            <w:vAlign w:val="bottom"/>
          </w:tcPr>
          <w:p w14:paraId="5DD3DFE4" w14:textId="77777777" w:rsidR="003B314F" w:rsidRDefault="001764E9">
            <w:pPr>
              <w:spacing w:beforeAutospacing="1" w:afterAutospacing="1"/>
              <w:jc w:val="right"/>
            </w:pPr>
            <w:r>
              <w:rPr>
                <w:color w:val="000000"/>
              </w:rPr>
              <w:t>0</w:t>
            </w:r>
          </w:p>
        </w:tc>
        <w:tc>
          <w:tcPr>
            <w:tcW w:w="1470" w:type="dxa"/>
            <w:vAlign w:val="bottom"/>
          </w:tcPr>
          <w:p w14:paraId="24411D23" w14:textId="77777777" w:rsidR="003B314F" w:rsidRDefault="001764E9">
            <w:pPr>
              <w:spacing w:beforeAutospacing="1" w:afterAutospacing="1"/>
              <w:jc w:val="right"/>
            </w:pPr>
            <w:r>
              <w:rPr>
                <w:color w:val="000000"/>
              </w:rPr>
              <w:t>0</w:t>
            </w:r>
          </w:p>
        </w:tc>
        <w:tc>
          <w:tcPr>
            <w:tcW w:w="1470" w:type="dxa"/>
            <w:vAlign w:val="bottom"/>
          </w:tcPr>
          <w:p w14:paraId="710787B3" w14:textId="77777777" w:rsidR="003B314F" w:rsidRDefault="001764E9">
            <w:pPr>
              <w:spacing w:beforeAutospacing="1" w:afterAutospacing="1"/>
              <w:jc w:val="right"/>
            </w:pPr>
            <w:r>
              <w:rPr>
                <w:color w:val="000000"/>
              </w:rPr>
              <w:t>0</w:t>
            </w:r>
          </w:p>
        </w:tc>
        <w:tc>
          <w:tcPr>
            <w:tcW w:w="1470" w:type="dxa"/>
            <w:vAlign w:val="bottom"/>
          </w:tcPr>
          <w:p w14:paraId="48EDE2E0" w14:textId="77777777" w:rsidR="003B314F" w:rsidRDefault="001764E9">
            <w:pPr>
              <w:spacing w:beforeAutospacing="1" w:afterAutospacing="1"/>
              <w:jc w:val="right"/>
            </w:pPr>
            <w:r>
              <w:rPr>
                <w:color w:val="000000"/>
              </w:rPr>
              <w:t>0</w:t>
            </w:r>
          </w:p>
        </w:tc>
      </w:tr>
    </w:tbl>
    <w:p w14:paraId="5FBF1D4A" w14:textId="77777777" w:rsidR="003B314F" w:rsidRDefault="001764E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Minority Owners of Rental Property</w:t>
      </w:r>
    </w:p>
    <w:p w14:paraId="41D38137" w14:textId="77777777" w:rsidR="003B314F" w:rsidRDefault="003B314F">
      <w:pPr>
        <w:widowControl w:val="0"/>
        <w:spacing w:line="204"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B314F" w14:paraId="27451132" w14:textId="77777777">
        <w:tc>
          <w:tcPr>
            <w:tcW w:w="13176" w:type="dxa"/>
          </w:tcPr>
          <w:p w14:paraId="6A10F2F2" w14:textId="77777777" w:rsidR="003B314F" w:rsidRDefault="001764E9">
            <w:pPr>
              <w:keepNext/>
              <w:widowControl w:val="0"/>
              <w:spacing w:after="0" w:line="240" w:lineRule="auto"/>
              <w:rPr>
                <w:b/>
              </w:rPr>
            </w:pPr>
            <w:r>
              <w:rPr>
                <w:b/>
              </w:rPr>
              <w:lastRenderedPageBreak/>
              <w:t xml:space="preserve">Relocation and Real Property Acquisition – </w:t>
            </w:r>
            <w:r>
              <w:t>Indicate the number of persons displaced, the cost of relocation payments, the number of parcels acquired, and the cost of acquisition</w:t>
            </w:r>
          </w:p>
        </w:tc>
      </w:tr>
    </w:tbl>
    <w:p w14:paraId="1FB1787E" w14:textId="77777777" w:rsidR="003B314F" w:rsidRDefault="003B314F">
      <w:pPr>
        <w:keepNext/>
        <w:widowControl w:val="0"/>
        <w:spacing w:after="0" w:line="240" w:lineRule="auto"/>
        <w:rPr>
          <w:b/>
          <w:vanish/>
          <w:sz w:val="24"/>
          <w:szCs w:val="24"/>
        </w:rPr>
      </w:pPr>
    </w:p>
    <w:tbl>
      <w:tblPr>
        <w:tblW w:w="342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81"/>
        <w:gridCol w:w="1660"/>
        <w:gridCol w:w="1660"/>
      </w:tblGrid>
      <w:tr w:rsidR="003B314F" w14:paraId="527E8CA2" w14:textId="77777777">
        <w:trPr>
          <w:cantSplit/>
          <w:hidden/>
        </w:trPr>
        <w:tc>
          <w:tcPr>
            <w:tcW w:w="4392" w:type="dxa"/>
          </w:tcPr>
          <w:p w14:paraId="76683EA1" w14:textId="77777777" w:rsidR="003B314F" w:rsidRDefault="003B314F">
            <w:pPr>
              <w:keepNext/>
              <w:widowControl w:val="0"/>
              <w:spacing w:after="0" w:line="240" w:lineRule="auto"/>
              <w:rPr>
                <w:b/>
                <w:vanish/>
              </w:rPr>
            </w:pPr>
          </w:p>
        </w:tc>
        <w:tc>
          <w:tcPr>
            <w:tcW w:w="2314" w:type="dxa"/>
          </w:tcPr>
          <w:p w14:paraId="1837A3EC" w14:textId="77777777" w:rsidR="003B314F" w:rsidRDefault="001764E9">
            <w:pPr>
              <w:keepNext/>
              <w:widowControl w:val="0"/>
              <w:spacing w:after="0" w:line="240" w:lineRule="auto"/>
              <w:jc w:val="center"/>
              <w:rPr>
                <w:b/>
                <w:vanish/>
              </w:rPr>
            </w:pPr>
            <w:r>
              <w:rPr>
                <w:b/>
                <w:vanish/>
              </w:rPr>
              <w:t>Number</w:t>
            </w:r>
          </w:p>
        </w:tc>
        <w:tc>
          <w:tcPr>
            <w:tcW w:w="2314" w:type="dxa"/>
          </w:tcPr>
          <w:p w14:paraId="29984AE9" w14:textId="77777777" w:rsidR="003B314F" w:rsidRDefault="001764E9">
            <w:pPr>
              <w:keepNext/>
              <w:widowControl w:val="0"/>
              <w:spacing w:after="0" w:line="240" w:lineRule="auto"/>
              <w:jc w:val="center"/>
              <w:rPr>
                <w:b/>
                <w:vanish/>
              </w:rPr>
            </w:pPr>
            <w:r>
              <w:rPr>
                <w:b/>
                <w:vanish/>
              </w:rPr>
              <w:t>Cost</w:t>
            </w:r>
          </w:p>
        </w:tc>
      </w:tr>
      <w:tr w:rsidR="003B314F" w14:paraId="2D73DFA1" w14:textId="77777777">
        <w:trPr>
          <w:cantSplit/>
        </w:trPr>
        <w:tc>
          <w:tcPr>
            <w:tcW w:w="3163" w:type="dxa"/>
          </w:tcPr>
          <w:p w14:paraId="5BE60156" w14:textId="77777777" w:rsidR="003B314F" w:rsidRDefault="001764E9">
            <w:pPr>
              <w:spacing w:beforeAutospacing="1" w:afterAutospacing="1"/>
            </w:pPr>
            <w:r>
              <w:rPr>
                <w:color w:val="000000"/>
              </w:rPr>
              <w:t>Parcels Acquired</w:t>
            </w:r>
          </w:p>
        </w:tc>
        <w:tc>
          <w:tcPr>
            <w:tcW w:w="1701" w:type="dxa"/>
            <w:vAlign w:val="bottom"/>
          </w:tcPr>
          <w:p w14:paraId="21CE1BF5" w14:textId="77777777" w:rsidR="003B314F" w:rsidRDefault="001764E9">
            <w:pPr>
              <w:spacing w:beforeAutospacing="1" w:afterAutospacing="1"/>
              <w:jc w:val="right"/>
            </w:pPr>
            <w:r>
              <w:rPr>
                <w:color w:val="000000"/>
              </w:rPr>
              <w:t>0</w:t>
            </w:r>
          </w:p>
        </w:tc>
        <w:tc>
          <w:tcPr>
            <w:tcW w:w="1701" w:type="dxa"/>
            <w:vAlign w:val="bottom"/>
          </w:tcPr>
          <w:p w14:paraId="7B134610" w14:textId="77777777" w:rsidR="003B314F" w:rsidRDefault="001764E9">
            <w:pPr>
              <w:spacing w:beforeAutospacing="1" w:afterAutospacing="1"/>
              <w:jc w:val="right"/>
            </w:pPr>
            <w:r>
              <w:rPr>
                <w:color w:val="000000"/>
              </w:rPr>
              <w:t>0</w:t>
            </w:r>
          </w:p>
        </w:tc>
      </w:tr>
      <w:tr w:rsidR="003B314F" w14:paraId="42AD0890" w14:textId="77777777">
        <w:trPr>
          <w:cantSplit/>
        </w:trPr>
        <w:tc>
          <w:tcPr>
            <w:tcW w:w="3163" w:type="dxa"/>
          </w:tcPr>
          <w:p w14:paraId="5156FB3B" w14:textId="77777777" w:rsidR="003B314F" w:rsidRDefault="001764E9">
            <w:pPr>
              <w:spacing w:beforeAutospacing="1" w:afterAutospacing="1"/>
            </w:pPr>
            <w:r>
              <w:rPr>
                <w:color w:val="000000"/>
              </w:rPr>
              <w:t>Businesses Displaced</w:t>
            </w:r>
          </w:p>
        </w:tc>
        <w:tc>
          <w:tcPr>
            <w:tcW w:w="1701" w:type="dxa"/>
            <w:vAlign w:val="bottom"/>
          </w:tcPr>
          <w:p w14:paraId="10F0D4D0" w14:textId="77777777" w:rsidR="003B314F" w:rsidRDefault="001764E9">
            <w:pPr>
              <w:spacing w:beforeAutospacing="1" w:afterAutospacing="1"/>
              <w:jc w:val="right"/>
            </w:pPr>
            <w:r>
              <w:rPr>
                <w:color w:val="000000"/>
              </w:rPr>
              <w:t>0</w:t>
            </w:r>
          </w:p>
        </w:tc>
        <w:tc>
          <w:tcPr>
            <w:tcW w:w="1701" w:type="dxa"/>
            <w:vAlign w:val="bottom"/>
          </w:tcPr>
          <w:p w14:paraId="0220E2E4" w14:textId="77777777" w:rsidR="003B314F" w:rsidRDefault="001764E9">
            <w:pPr>
              <w:spacing w:beforeAutospacing="1" w:afterAutospacing="1"/>
              <w:jc w:val="right"/>
            </w:pPr>
            <w:r>
              <w:rPr>
                <w:color w:val="000000"/>
              </w:rPr>
              <w:t>0</w:t>
            </w:r>
          </w:p>
        </w:tc>
      </w:tr>
      <w:tr w:rsidR="003B314F" w14:paraId="04FA0AE4" w14:textId="77777777">
        <w:trPr>
          <w:cantSplit/>
        </w:trPr>
        <w:tc>
          <w:tcPr>
            <w:tcW w:w="3163" w:type="dxa"/>
          </w:tcPr>
          <w:p w14:paraId="032E5DF3" w14:textId="77777777" w:rsidR="003B314F" w:rsidRDefault="001764E9">
            <w:pPr>
              <w:spacing w:beforeAutospacing="1" w:afterAutospacing="1"/>
            </w:pPr>
            <w:r>
              <w:rPr>
                <w:color w:val="000000"/>
              </w:rPr>
              <w:t>Nonprofit Organizations Displaced</w:t>
            </w:r>
          </w:p>
        </w:tc>
        <w:tc>
          <w:tcPr>
            <w:tcW w:w="1701" w:type="dxa"/>
            <w:vAlign w:val="bottom"/>
          </w:tcPr>
          <w:p w14:paraId="24D6F165" w14:textId="77777777" w:rsidR="003B314F" w:rsidRDefault="001764E9">
            <w:pPr>
              <w:spacing w:beforeAutospacing="1" w:afterAutospacing="1"/>
              <w:jc w:val="right"/>
            </w:pPr>
            <w:r>
              <w:rPr>
                <w:color w:val="000000"/>
              </w:rPr>
              <w:t>0</w:t>
            </w:r>
          </w:p>
        </w:tc>
        <w:tc>
          <w:tcPr>
            <w:tcW w:w="1701" w:type="dxa"/>
            <w:vAlign w:val="bottom"/>
          </w:tcPr>
          <w:p w14:paraId="64F7796C" w14:textId="77777777" w:rsidR="003B314F" w:rsidRDefault="001764E9">
            <w:pPr>
              <w:spacing w:beforeAutospacing="1" w:afterAutospacing="1"/>
              <w:jc w:val="right"/>
            </w:pPr>
            <w:r>
              <w:rPr>
                <w:color w:val="000000"/>
              </w:rPr>
              <w:t>0</w:t>
            </w:r>
          </w:p>
        </w:tc>
      </w:tr>
      <w:tr w:rsidR="003B314F" w14:paraId="46F63D4F" w14:textId="77777777">
        <w:trPr>
          <w:cantSplit/>
        </w:trPr>
        <w:tc>
          <w:tcPr>
            <w:tcW w:w="3163" w:type="dxa"/>
          </w:tcPr>
          <w:p w14:paraId="07807A77" w14:textId="77777777" w:rsidR="003B314F" w:rsidRDefault="001764E9">
            <w:pPr>
              <w:spacing w:beforeAutospacing="1" w:afterAutospacing="1"/>
            </w:pPr>
            <w:r>
              <w:rPr>
                <w:color w:val="000000"/>
              </w:rPr>
              <w:t xml:space="preserve">Households Temporarily Relocated, </w:t>
            </w:r>
            <w:proofErr w:type="gramStart"/>
            <w:r>
              <w:rPr>
                <w:color w:val="000000"/>
              </w:rPr>
              <w:t>not</w:t>
            </w:r>
            <w:proofErr w:type="gramEnd"/>
            <w:r>
              <w:rPr>
                <w:color w:val="000000"/>
              </w:rPr>
              <w:t xml:space="preserve"> Displaced</w:t>
            </w:r>
          </w:p>
        </w:tc>
        <w:tc>
          <w:tcPr>
            <w:tcW w:w="1701" w:type="dxa"/>
            <w:vAlign w:val="bottom"/>
          </w:tcPr>
          <w:p w14:paraId="66E6CC18" w14:textId="77777777" w:rsidR="003B314F" w:rsidRDefault="001764E9">
            <w:pPr>
              <w:spacing w:beforeAutospacing="1" w:afterAutospacing="1"/>
              <w:jc w:val="right"/>
            </w:pPr>
            <w:r>
              <w:rPr>
                <w:color w:val="000000"/>
              </w:rPr>
              <w:t>0</w:t>
            </w:r>
          </w:p>
        </w:tc>
        <w:tc>
          <w:tcPr>
            <w:tcW w:w="1701" w:type="dxa"/>
            <w:vAlign w:val="bottom"/>
          </w:tcPr>
          <w:p w14:paraId="3F309CA5" w14:textId="77777777" w:rsidR="003B314F" w:rsidRDefault="001764E9">
            <w:pPr>
              <w:spacing w:beforeAutospacing="1" w:afterAutospacing="1"/>
              <w:jc w:val="right"/>
            </w:pPr>
            <w:r>
              <w:rPr>
                <w:color w:val="000000"/>
              </w:rPr>
              <w:t>0</w:t>
            </w:r>
          </w:p>
        </w:tc>
      </w:tr>
    </w:tbl>
    <w:p w14:paraId="6F9AD198" w14:textId="77777777" w:rsidR="003B314F" w:rsidRDefault="003B314F">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33"/>
        <w:gridCol w:w="784"/>
        <w:gridCol w:w="1459"/>
        <w:gridCol w:w="1366"/>
        <w:gridCol w:w="1403"/>
        <w:gridCol w:w="1402"/>
        <w:gridCol w:w="1403"/>
      </w:tblGrid>
      <w:tr w:rsidR="003B314F" w14:paraId="52ECFDAE" w14:textId="77777777">
        <w:trPr>
          <w:cantSplit/>
        </w:trPr>
        <w:tc>
          <w:tcPr>
            <w:tcW w:w="1572" w:type="dxa"/>
            <w:vMerge w:val="restart"/>
          </w:tcPr>
          <w:p w14:paraId="2167A284" w14:textId="77777777" w:rsidR="003B314F" w:rsidRDefault="001764E9">
            <w:pPr>
              <w:keepNext/>
              <w:widowControl w:val="0"/>
              <w:spacing w:after="0" w:line="240" w:lineRule="auto"/>
              <w:jc w:val="center"/>
              <w:rPr>
                <w:b/>
              </w:rPr>
            </w:pPr>
            <w:r>
              <w:rPr>
                <w:b/>
              </w:rPr>
              <w:t>Households Displaced</w:t>
            </w:r>
          </w:p>
        </w:tc>
        <w:tc>
          <w:tcPr>
            <w:tcW w:w="800" w:type="dxa"/>
            <w:vMerge w:val="restart"/>
          </w:tcPr>
          <w:p w14:paraId="1FD263D1" w14:textId="77777777" w:rsidR="003B314F" w:rsidRDefault="001764E9">
            <w:pPr>
              <w:keepNext/>
              <w:widowControl w:val="0"/>
              <w:spacing w:after="0" w:line="240" w:lineRule="auto"/>
              <w:jc w:val="center"/>
              <w:rPr>
                <w:b/>
              </w:rPr>
            </w:pPr>
            <w:r>
              <w:rPr>
                <w:b/>
              </w:rPr>
              <w:t>Total</w:t>
            </w:r>
          </w:p>
        </w:tc>
        <w:tc>
          <w:tcPr>
            <w:tcW w:w="5767" w:type="dxa"/>
            <w:gridSpan w:val="4"/>
          </w:tcPr>
          <w:p w14:paraId="654C15CD" w14:textId="77777777" w:rsidR="003B314F" w:rsidRDefault="001764E9">
            <w:pPr>
              <w:keepNext/>
              <w:widowControl w:val="0"/>
              <w:spacing w:after="0" w:line="240" w:lineRule="auto"/>
              <w:jc w:val="center"/>
              <w:rPr>
                <w:b/>
              </w:rPr>
            </w:pPr>
            <w:r>
              <w:rPr>
                <w:b/>
              </w:rPr>
              <w:t>Minority Property Enterprises</w:t>
            </w:r>
          </w:p>
        </w:tc>
        <w:tc>
          <w:tcPr>
            <w:tcW w:w="1437" w:type="dxa"/>
            <w:vMerge w:val="restart"/>
          </w:tcPr>
          <w:p w14:paraId="32ED4140" w14:textId="77777777" w:rsidR="003B314F" w:rsidRDefault="001764E9">
            <w:pPr>
              <w:keepNext/>
              <w:widowControl w:val="0"/>
              <w:spacing w:after="0" w:line="240" w:lineRule="auto"/>
              <w:jc w:val="center"/>
              <w:rPr>
                <w:b/>
              </w:rPr>
            </w:pPr>
            <w:r>
              <w:rPr>
                <w:b/>
              </w:rPr>
              <w:t xml:space="preserve">White </w:t>
            </w:r>
            <w:proofErr w:type="gramStart"/>
            <w:r>
              <w:rPr>
                <w:b/>
              </w:rPr>
              <w:t>Non-Hispanic</w:t>
            </w:r>
            <w:proofErr w:type="gramEnd"/>
          </w:p>
        </w:tc>
      </w:tr>
      <w:tr w:rsidR="003B314F" w14:paraId="5ED0DD0E" w14:textId="77777777">
        <w:trPr>
          <w:cantSplit/>
        </w:trPr>
        <w:tc>
          <w:tcPr>
            <w:tcW w:w="1572" w:type="dxa"/>
            <w:vMerge/>
          </w:tcPr>
          <w:p w14:paraId="68CCD659" w14:textId="77777777" w:rsidR="003B314F" w:rsidRDefault="003B314F">
            <w:pPr>
              <w:keepNext/>
              <w:widowControl w:val="0"/>
              <w:spacing w:after="0" w:line="240" w:lineRule="auto"/>
              <w:jc w:val="center"/>
              <w:rPr>
                <w:b/>
              </w:rPr>
            </w:pPr>
          </w:p>
        </w:tc>
        <w:tc>
          <w:tcPr>
            <w:tcW w:w="800" w:type="dxa"/>
            <w:vMerge/>
          </w:tcPr>
          <w:p w14:paraId="154801E1" w14:textId="77777777" w:rsidR="003B314F" w:rsidRDefault="003B314F">
            <w:pPr>
              <w:keepNext/>
              <w:widowControl w:val="0"/>
              <w:spacing w:after="0" w:line="240" w:lineRule="auto"/>
              <w:jc w:val="center"/>
              <w:rPr>
                <w:b/>
              </w:rPr>
            </w:pPr>
          </w:p>
        </w:tc>
        <w:tc>
          <w:tcPr>
            <w:tcW w:w="1495" w:type="dxa"/>
          </w:tcPr>
          <w:p w14:paraId="067CDDA6" w14:textId="77777777" w:rsidR="003B314F" w:rsidRDefault="001764E9">
            <w:pPr>
              <w:keepNext/>
              <w:widowControl w:val="0"/>
              <w:jc w:val="center"/>
              <w:rPr>
                <w:b/>
              </w:rPr>
            </w:pPr>
            <w:r>
              <w:rPr>
                <w:b/>
              </w:rPr>
              <w:t>Alaskan Native or American Indian</w:t>
            </w:r>
          </w:p>
        </w:tc>
        <w:tc>
          <w:tcPr>
            <w:tcW w:w="1399" w:type="dxa"/>
          </w:tcPr>
          <w:p w14:paraId="7F4FD2A9" w14:textId="77777777" w:rsidR="003B314F" w:rsidRDefault="001764E9">
            <w:pPr>
              <w:keepNext/>
              <w:widowControl w:val="0"/>
              <w:ind w:right="-28"/>
              <w:jc w:val="center"/>
              <w:rPr>
                <w:b/>
              </w:rPr>
            </w:pPr>
            <w:r>
              <w:rPr>
                <w:b/>
              </w:rPr>
              <w:t>Asian or Pacific Islander</w:t>
            </w:r>
          </w:p>
        </w:tc>
        <w:tc>
          <w:tcPr>
            <w:tcW w:w="1437" w:type="dxa"/>
          </w:tcPr>
          <w:p w14:paraId="3451A7CA" w14:textId="77777777" w:rsidR="003B314F" w:rsidRDefault="001764E9">
            <w:pPr>
              <w:keepNext/>
              <w:widowControl w:val="0"/>
              <w:jc w:val="center"/>
              <w:rPr>
                <w:b/>
              </w:rPr>
            </w:pPr>
            <w:r>
              <w:rPr>
                <w:b/>
              </w:rPr>
              <w:t xml:space="preserve">Black </w:t>
            </w:r>
            <w:proofErr w:type="gramStart"/>
            <w:r>
              <w:rPr>
                <w:b/>
              </w:rPr>
              <w:t>Non-Hispanic</w:t>
            </w:r>
            <w:proofErr w:type="gramEnd"/>
          </w:p>
        </w:tc>
        <w:tc>
          <w:tcPr>
            <w:tcW w:w="1436" w:type="dxa"/>
          </w:tcPr>
          <w:p w14:paraId="3B9EB6BE" w14:textId="77777777" w:rsidR="003B314F" w:rsidRDefault="001764E9">
            <w:pPr>
              <w:keepNext/>
              <w:widowControl w:val="0"/>
              <w:jc w:val="center"/>
              <w:rPr>
                <w:b/>
              </w:rPr>
            </w:pPr>
            <w:r>
              <w:rPr>
                <w:b/>
              </w:rPr>
              <w:t>Hispanic</w:t>
            </w:r>
          </w:p>
        </w:tc>
        <w:tc>
          <w:tcPr>
            <w:tcW w:w="1437" w:type="dxa"/>
            <w:vMerge/>
          </w:tcPr>
          <w:p w14:paraId="52D56001" w14:textId="77777777" w:rsidR="003B314F" w:rsidRDefault="003B314F">
            <w:pPr>
              <w:keepNext/>
              <w:widowControl w:val="0"/>
              <w:spacing w:after="0" w:line="240" w:lineRule="auto"/>
              <w:jc w:val="center"/>
              <w:rPr>
                <w:b/>
              </w:rPr>
            </w:pPr>
          </w:p>
        </w:tc>
      </w:tr>
      <w:tr w:rsidR="003B314F" w14:paraId="0B69F19F" w14:textId="77777777">
        <w:trPr>
          <w:cantSplit/>
        </w:trPr>
        <w:tc>
          <w:tcPr>
            <w:tcW w:w="1575" w:type="dxa"/>
          </w:tcPr>
          <w:p w14:paraId="0DBD41FF" w14:textId="77777777" w:rsidR="003B314F" w:rsidRDefault="001764E9">
            <w:pPr>
              <w:spacing w:beforeAutospacing="1" w:afterAutospacing="1"/>
            </w:pPr>
            <w:r>
              <w:rPr>
                <w:color w:val="000000"/>
              </w:rPr>
              <w:t>Number</w:t>
            </w:r>
          </w:p>
        </w:tc>
        <w:tc>
          <w:tcPr>
            <w:tcW w:w="801" w:type="dxa"/>
            <w:vAlign w:val="bottom"/>
          </w:tcPr>
          <w:p w14:paraId="30999A4C" w14:textId="77777777" w:rsidR="003B314F" w:rsidRDefault="001764E9">
            <w:pPr>
              <w:spacing w:beforeAutospacing="1" w:afterAutospacing="1"/>
              <w:jc w:val="right"/>
            </w:pPr>
            <w:r>
              <w:rPr>
                <w:color w:val="000000"/>
              </w:rPr>
              <w:t>0</w:t>
            </w:r>
          </w:p>
        </w:tc>
        <w:tc>
          <w:tcPr>
            <w:tcW w:w="1497" w:type="dxa"/>
            <w:vAlign w:val="bottom"/>
          </w:tcPr>
          <w:p w14:paraId="0FC1141A" w14:textId="77777777" w:rsidR="003B314F" w:rsidRDefault="001764E9">
            <w:pPr>
              <w:spacing w:beforeAutospacing="1" w:afterAutospacing="1"/>
              <w:jc w:val="right"/>
            </w:pPr>
            <w:r>
              <w:rPr>
                <w:color w:val="000000"/>
              </w:rPr>
              <w:t>0</w:t>
            </w:r>
          </w:p>
        </w:tc>
        <w:tc>
          <w:tcPr>
            <w:tcW w:w="1401" w:type="dxa"/>
            <w:vAlign w:val="bottom"/>
          </w:tcPr>
          <w:p w14:paraId="7D2CEFA6" w14:textId="77777777" w:rsidR="003B314F" w:rsidRDefault="001764E9">
            <w:pPr>
              <w:spacing w:beforeAutospacing="1" w:afterAutospacing="1"/>
              <w:jc w:val="right"/>
            </w:pPr>
            <w:r>
              <w:rPr>
                <w:color w:val="000000"/>
              </w:rPr>
              <w:t>0</w:t>
            </w:r>
          </w:p>
        </w:tc>
        <w:tc>
          <w:tcPr>
            <w:tcW w:w="1439" w:type="dxa"/>
            <w:vAlign w:val="bottom"/>
          </w:tcPr>
          <w:p w14:paraId="3FF2BB13" w14:textId="77777777" w:rsidR="003B314F" w:rsidRDefault="001764E9">
            <w:pPr>
              <w:spacing w:beforeAutospacing="1" w:afterAutospacing="1"/>
              <w:jc w:val="right"/>
            </w:pPr>
            <w:r>
              <w:rPr>
                <w:color w:val="000000"/>
              </w:rPr>
              <w:t>0</w:t>
            </w:r>
          </w:p>
        </w:tc>
        <w:tc>
          <w:tcPr>
            <w:tcW w:w="1438" w:type="dxa"/>
            <w:vAlign w:val="bottom"/>
          </w:tcPr>
          <w:p w14:paraId="5DFFA6D6" w14:textId="77777777" w:rsidR="003B314F" w:rsidRDefault="001764E9">
            <w:pPr>
              <w:spacing w:beforeAutospacing="1" w:afterAutospacing="1"/>
              <w:jc w:val="right"/>
            </w:pPr>
            <w:r>
              <w:rPr>
                <w:color w:val="000000"/>
              </w:rPr>
              <w:t>0</w:t>
            </w:r>
          </w:p>
        </w:tc>
        <w:tc>
          <w:tcPr>
            <w:tcW w:w="1439" w:type="dxa"/>
            <w:vAlign w:val="bottom"/>
          </w:tcPr>
          <w:p w14:paraId="33B03EE7" w14:textId="77777777" w:rsidR="003B314F" w:rsidRDefault="001764E9">
            <w:pPr>
              <w:spacing w:beforeAutospacing="1" w:afterAutospacing="1"/>
              <w:jc w:val="right"/>
            </w:pPr>
            <w:r>
              <w:rPr>
                <w:color w:val="000000"/>
              </w:rPr>
              <w:t>0</w:t>
            </w:r>
          </w:p>
        </w:tc>
      </w:tr>
      <w:tr w:rsidR="003B314F" w14:paraId="1DDDE32B" w14:textId="77777777">
        <w:trPr>
          <w:cantSplit/>
        </w:trPr>
        <w:tc>
          <w:tcPr>
            <w:tcW w:w="1575" w:type="dxa"/>
          </w:tcPr>
          <w:p w14:paraId="7A672219" w14:textId="77777777" w:rsidR="003B314F" w:rsidRDefault="001764E9">
            <w:pPr>
              <w:spacing w:beforeAutospacing="1" w:afterAutospacing="1"/>
            </w:pPr>
            <w:r>
              <w:rPr>
                <w:color w:val="000000"/>
              </w:rPr>
              <w:t>Cost</w:t>
            </w:r>
          </w:p>
        </w:tc>
        <w:tc>
          <w:tcPr>
            <w:tcW w:w="801" w:type="dxa"/>
            <w:vAlign w:val="bottom"/>
          </w:tcPr>
          <w:p w14:paraId="619401E8" w14:textId="77777777" w:rsidR="003B314F" w:rsidRDefault="001764E9">
            <w:pPr>
              <w:spacing w:beforeAutospacing="1" w:afterAutospacing="1"/>
              <w:jc w:val="right"/>
            </w:pPr>
            <w:r>
              <w:rPr>
                <w:color w:val="000000"/>
              </w:rPr>
              <w:t>0</w:t>
            </w:r>
          </w:p>
        </w:tc>
        <w:tc>
          <w:tcPr>
            <w:tcW w:w="1497" w:type="dxa"/>
            <w:vAlign w:val="bottom"/>
          </w:tcPr>
          <w:p w14:paraId="0619FF9F" w14:textId="77777777" w:rsidR="003B314F" w:rsidRDefault="001764E9">
            <w:pPr>
              <w:spacing w:beforeAutospacing="1" w:afterAutospacing="1"/>
              <w:jc w:val="right"/>
            </w:pPr>
            <w:r>
              <w:rPr>
                <w:color w:val="000000"/>
              </w:rPr>
              <w:t>0</w:t>
            </w:r>
          </w:p>
        </w:tc>
        <w:tc>
          <w:tcPr>
            <w:tcW w:w="1401" w:type="dxa"/>
            <w:vAlign w:val="bottom"/>
          </w:tcPr>
          <w:p w14:paraId="2E701E2D" w14:textId="77777777" w:rsidR="003B314F" w:rsidRDefault="001764E9">
            <w:pPr>
              <w:spacing w:beforeAutospacing="1" w:afterAutospacing="1"/>
              <w:jc w:val="right"/>
            </w:pPr>
            <w:r>
              <w:rPr>
                <w:color w:val="000000"/>
              </w:rPr>
              <w:t>0</w:t>
            </w:r>
          </w:p>
        </w:tc>
        <w:tc>
          <w:tcPr>
            <w:tcW w:w="1439" w:type="dxa"/>
            <w:vAlign w:val="bottom"/>
          </w:tcPr>
          <w:p w14:paraId="1E426CA8" w14:textId="77777777" w:rsidR="003B314F" w:rsidRDefault="001764E9">
            <w:pPr>
              <w:spacing w:beforeAutospacing="1" w:afterAutospacing="1"/>
              <w:jc w:val="right"/>
            </w:pPr>
            <w:r>
              <w:rPr>
                <w:color w:val="000000"/>
              </w:rPr>
              <w:t>0</w:t>
            </w:r>
          </w:p>
        </w:tc>
        <w:tc>
          <w:tcPr>
            <w:tcW w:w="1438" w:type="dxa"/>
            <w:vAlign w:val="bottom"/>
          </w:tcPr>
          <w:p w14:paraId="754F275E" w14:textId="77777777" w:rsidR="003B314F" w:rsidRDefault="001764E9">
            <w:pPr>
              <w:spacing w:beforeAutospacing="1" w:afterAutospacing="1"/>
              <w:jc w:val="right"/>
            </w:pPr>
            <w:r>
              <w:rPr>
                <w:color w:val="000000"/>
              </w:rPr>
              <w:t>0</w:t>
            </w:r>
          </w:p>
        </w:tc>
        <w:tc>
          <w:tcPr>
            <w:tcW w:w="1439" w:type="dxa"/>
            <w:vAlign w:val="bottom"/>
          </w:tcPr>
          <w:p w14:paraId="78A64625" w14:textId="77777777" w:rsidR="003B314F" w:rsidRDefault="001764E9">
            <w:pPr>
              <w:spacing w:beforeAutospacing="1" w:afterAutospacing="1"/>
              <w:jc w:val="right"/>
            </w:pPr>
            <w:r>
              <w:rPr>
                <w:color w:val="000000"/>
              </w:rPr>
              <w:t>0</w:t>
            </w:r>
          </w:p>
        </w:tc>
      </w:tr>
    </w:tbl>
    <w:p w14:paraId="6460A77C" w14:textId="77777777" w:rsidR="003B314F" w:rsidRDefault="001764E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Relocation and Real Property Acquisition</w:t>
      </w:r>
    </w:p>
    <w:p w14:paraId="6B062918" w14:textId="77777777" w:rsidR="003B314F" w:rsidRDefault="003B314F">
      <w:pPr>
        <w:spacing w:after="0" w:line="240" w:lineRule="auto"/>
        <w:rPr>
          <w:b/>
        </w:rPr>
      </w:pPr>
    </w:p>
    <w:p w14:paraId="666370E2" w14:textId="77777777" w:rsidR="003B314F" w:rsidRDefault="003B314F">
      <w:pPr>
        <w:spacing w:after="0" w:line="240" w:lineRule="auto"/>
        <w:rPr>
          <w:b/>
        </w:rPr>
      </w:pPr>
    </w:p>
    <w:p w14:paraId="0FEE6EFD" w14:textId="77777777" w:rsidR="003B314F" w:rsidRDefault="003B314F">
      <w:pPr>
        <w:widowControl w:val="0"/>
        <w:spacing w:after="0" w:line="240" w:lineRule="auto"/>
        <w:rPr>
          <w:sz w:val="24"/>
          <w:szCs w:val="24"/>
        </w:rPr>
      </w:pPr>
    </w:p>
    <w:p w14:paraId="49248E11" w14:textId="77777777" w:rsidR="003B314F" w:rsidRDefault="003B314F">
      <w:pPr>
        <w:spacing w:after="0" w:line="240" w:lineRule="auto"/>
      </w:pPr>
      <w:bookmarkStart w:id="1" w:name="_Toc309810475"/>
    </w:p>
    <w:p w14:paraId="1A6AF7D2" w14:textId="77777777" w:rsidR="003B314F" w:rsidRDefault="003B314F">
      <w:pPr>
        <w:sectPr w:rsidR="003B314F">
          <w:pgSz w:w="12240" w:h="15840" w:code="1"/>
          <w:pgMar w:top="1440" w:right="1440" w:bottom="1440" w:left="1440" w:header="720" w:footer="720" w:gutter="0"/>
          <w:cols w:space="720"/>
          <w:docGrid w:linePitch="360"/>
        </w:sectPr>
      </w:pPr>
    </w:p>
    <w:p w14:paraId="14B1FE5F" w14:textId="77777777" w:rsidR="003B314F" w:rsidRDefault="001764E9">
      <w:pPr>
        <w:pStyle w:val="Heading2"/>
        <w:rPr>
          <w:rFonts w:ascii="Calibri" w:hAnsi="Calibri"/>
          <w:i w:val="0"/>
        </w:rPr>
      </w:pPr>
      <w:r>
        <w:rPr>
          <w:rFonts w:ascii="Calibri" w:hAnsi="Calibri"/>
          <w:i w:val="0"/>
        </w:rPr>
        <w:lastRenderedPageBreak/>
        <w:t>CR-20 - Affordable Housing 91.520(b)</w:t>
      </w:r>
    </w:p>
    <w:p w14:paraId="0B783624" w14:textId="77777777" w:rsidR="003B314F" w:rsidRDefault="001764E9">
      <w:pPr>
        <w:keepNext/>
        <w:widowControl w:val="0"/>
        <w:spacing w:after="0" w:line="240" w:lineRule="auto"/>
        <w:rPr>
          <w:b/>
          <w:sz w:val="24"/>
          <w:szCs w:val="24"/>
        </w:rPr>
      </w:pPr>
      <w:r>
        <w:rPr>
          <w:b/>
          <w:sz w:val="24"/>
          <w:szCs w:val="24"/>
        </w:rPr>
        <w:t xml:space="preserve">Evaluation of the jurisdiction's progress in providing affordable housing, including the number and types of families served, the number of extremely low-income, low-income, moderate-income, and middle-income </w:t>
      </w:r>
      <w:proofErr w:type="gramStart"/>
      <w:r>
        <w:rPr>
          <w:b/>
          <w:sz w:val="24"/>
          <w:szCs w:val="24"/>
        </w:rPr>
        <w:t>persons</w:t>
      </w:r>
      <w:proofErr w:type="gramEnd"/>
      <w:r>
        <w:rPr>
          <w:b/>
          <w:sz w:val="24"/>
          <w:szCs w:val="24"/>
        </w:rPr>
        <w:t xml:space="preserve"> served.</w:t>
      </w:r>
    </w:p>
    <w:p w14:paraId="1DC1BC53" w14:textId="77777777" w:rsidR="003B314F" w:rsidRDefault="003B314F">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3B314F" w14:paraId="430E420A" w14:textId="77777777">
        <w:trPr>
          <w:cantSplit/>
          <w:tblHeader/>
        </w:trPr>
        <w:tc>
          <w:tcPr>
            <w:tcW w:w="4293" w:type="dxa"/>
          </w:tcPr>
          <w:p w14:paraId="2C628D4D" w14:textId="77777777" w:rsidR="003B314F" w:rsidRDefault="003B314F">
            <w:pPr>
              <w:pStyle w:val="Caption"/>
              <w:keepNext/>
              <w:widowControl w:val="0"/>
              <w:jc w:val="center"/>
              <w:rPr>
                <w:rFonts w:ascii="Calibri" w:hAnsi="Calibri"/>
                <w:sz w:val="22"/>
                <w:szCs w:val="22"/>
              </w:rPr>
            </w:pPr>
          </w:p>
        </w:tc>
        <w:tc>
          <w:tcPr>
            <w:tcW w:w="2648" w:type="dxa"/>
          </w:tcPr>
          <w:p w14:paraId="5BD391F2" w14:textId="77777777" w:rsidR="003B314F" w:rsidRDefault="001764E9">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5E92DBFC" w14:textId="77777777" w:rsidR="003B314F" w:rsidRDefault="001764E9">
            <w:pPr>
              <w:pStyle w:val="Caption"/>
              <w:keepNext/>
              <w:widowControl w:val="0"/>
              <w:jc w:val="center"/>
              <w:rPr>
                <w:rFonts w:ascii="Calibri" w:hAnsi="Calibri"/>
                <w:sz w:val="22"/>
                <w:szCs w:val="22"/>
              </w:rPr>
            </w:pPr>
            <w:r>
              <w:rPr>
                <w:rFonts w:ascii="Calibri" w:hAnsi="Calibri"/>
                <w:sz w:val="22"/>
                <w:szCs w:val="22"/>
              </w:rPr>
              <w:t>Actual</w:t>
            </w:r>
          </w:p>
        </w:tc>
      </w:tr>
      <w:tr w:rsidR="003B314F" w14:paraId="1435823D" w14:textId="77777777">
        <w:trPr>
          <w:cantSplit/>
        </w:trPr>
        <w:tc>
          <w:tcPr>
            <w:tcW w:w="4293" w:type="dxa"/>
            <w:vAlign w:val="bottom"/>
          </w:tcPr>
          <w:p w14:paraId="15085E44" w14:textId="77777777" w:rsidR="003B314F" w:rsidRDefault="001764E9">
            <w:pPr>
              <w:spacing w:beforeAutospacing="1" w:afterAutospacing="1"/>
            </w:pPr>
            <w:r>
              <w:rPr>
                <w:color w:val="000000"/>
              </w:rPr>
              <w:t xml:space="preserve">Number of Homeless households to be </w:t>
            </w:r>
            <w:proofErr w:type="gramStart"/>
            <w:r>
              <w:rPr>
                <w:color w:val="000000"/>
              </w:rPr>
              <w:t>provided</w:t>
            </w:r>
            <w:proofErr w:type="gramEnd"/>
            <w:r>
              <w:rPr>
                <w:color w:val="000000"/>
              </w:rPr>
              <w:t xml:space="preserve"> affordable housing units</w:t>
            </w:r>
          </w:p>
        </w:tc>
        <w:tc>
          <w:tcPr>
            <w:tcW w:w="2648" w:type="dxa"/>
            <w:vAlign w:val="bottom"/>
          </w:tcPr>
          <w:p w14:paraId="7D150801" w14:textId="77777777" w:rsidR="003B314F" w:rsidRDefault="001764E9">
            <w:pPr>
              <w:spacing w:beforeAutospacing="1" w:afterAutospacing="1"/>
              <w:jc w:val="right"/>
            </w:pPr>
            <w:r>
              <w:rPr>
                <w:color w:val="000000"/>
              </w:rPr>
              <w:t>1,000</w:t>
            </w:r>
          </w:p>
        </w:tc>
        <w:tc>
          <w:tcPr>
            <w:tcW w:w="2649" w:type="dxa"/>
            <w:vAlign w:val="bottom"/>
          </w:tcPr>
          <w:p w14:paraId="2AE0FC23" w14:textId="77777777" w:rsidR="003B314F" w:rsidRDefault="001764E9">
            <w:pPr>
              <w:spacing w:beforeAutospacing="1" w:afterAutospacing="1"/>
              <w:jc w:val="right"/>
            </w:pPr>
            <w:r>
              <w:rPr>
                <w:color w:val="000000"/>
              </w:rPr>
              <w:t>5</w:t>
            </w:r>
          </w:p>
        </w:tc>
      </w:tr>
      <w:tr w:rsidR="003B314F" w14:paraId="025379A2" w14:textId="77777777">
        <w:trPr>
          <w:cantSplit/>
        </w:trPr>
        <w:tc>
          <w:tcPr>
            <w:tcW w:w="4293" w:type="dxa"/>
            <w:vAlign w:val="bottom"/>
          </w:tcPr>
          <w:p w14:paraId="63D2287D" w14:textId="77777777" w:rsidR="003B314F" w:rsidRDefault="001764E9">
            <w:pPr>
              <w:spacing w:beforeAutospacing="1" w:afterAutospacing="1"/>
            </w:pPr>
            <w:r>
              <w:rPr>
                <w:color w:val="000000"/>
              </w:rPr>
              <w:t xml:space="preserve">Number of </w:t>
            </w:r>
            <w:proofErr w:type="gramStart"/>
            <w:r>
              <w:rPr>
                <w:color w:val="000000"/>
              </w:rPr>
              <w:t>Non-Homeless</w:t>
            </w:r>
            <w:proofErr w:type="gramEnd"/>
            <w:r>
              <w:rPr>
                <w:color w:val="000000"/>
              </w:rPr>
              <w:t xml:space="preserve"> households to be </w:t>
            </w:r>
            <w:proofErr w:type="gramStart"/>
            <w:r>
              <w:rPr>
                <w:color w:val="000000"/>
              </w:rPr>
              <w:t>provided</w:t>
            </w:r>
            <w:proofErr w:type="gramEnd"/>
            <w:r>
              <w:rPr>
                <w:color w:val="000000"/>
              </w:rPr>
              <w:t xml:space="preserve"> affordable housing units</w:t>
            </w:r>
          </w:p>
        </w:tc>
        <w:tc>
          <w:tcPr>
            <w:tcW w:w="2648" w:type="dxa"/>
            <w:vAlign w:val="bottom"/>
          </w:tcPr>
          <w:p w14:paraId="10682472" w14:textId="77777777" w:rsidR="003B314F" w:rsidRDefault="001764E9">
            <w:pPr>
              <w:spacing w:beforeAutospacing="1" w:afterAutospacing="1"/>
              <w:jc w:val="right"/>
            </w:pPr>
            <w:r>
              <w:rPr>
                <w:color w:val="000000"/>
              </w:rPr>
              <w:t>206</w:t>
            </w:r>
          </w:p>
        </w:tc>
        <w:tc>
          <w:tcPr>
            <w:tcW w:w="2649" w:type="dxa"/>
            <w:vAlign w:val="bottom"/>
          </w:tcPr>
          <w:p w14:paraId="064AE583" w14:textId="77777777" w:rsidR="003B314F" w:rsidRDefault="001764E9">
            <w:pPr>
              <w:spacing w:beforeAutospacing="1" w:afterAutospacing="1"/>
              <w:jc w:val="right"/>
            </w:pPr>
            <w:r>
              <w:rPr>
                <w:color w:val="000000"/>
              </w:rPr>
              <w:t>147</w:t>
            </w:r>
          </w:p>
        </w:tc>
      </w:tr>
      <w:tr w:rsidR="003B314F" w14:paraId="3B3C6A9F" w14:textId="77777777">
        <w:trPr>
          <w:cantSplit/>
        </w:trPr>
        <w:tc>
          <w:tcPr>
            <w:tcW w:w="4293" w:type="dxa"/>
            <w:vAlign w:val="bottom"/>
          </w:tcPr>
          <w:p w14:paraId="576DE151" w14:textId="77777777" w:rsidR="003B314F" w:rsidRDefault="001764E9">
            <w:pPr>
              <w:spacing w:beforeAutospacing="1" w:afterAutospacing="1"/>
            </w:pPr>
            <w:r>
              <w:rPr>
                <w:color w:val="000000"/>
              </w:rPr>
              <w:t xml:space="preserve">Number of Special-Needs households to be </w:t>
            </w:r>
            <w:proofErr w:type="gramStart"/>
            <w:r>
              <w:rPr>
                <w:color w:val="000000"/>
              </w:rPr>
              <w:t>provided</w:t>
            </w:r>
            <w:proofErr w:type="gramEnd"/>
            <w:r>
              <w:rPr>
                <w:color w:val="000000"/>
              </w:rPr>
              <w:t xml:space="preserve"> affordable housing units</w:t>
            </w:r>
          </w:p>
        </w:tc>
        <w:tc>
          <w:tcPr>
            <w:tcW w:w="2648" w:type="dxa"/>
            <w:vAlign w:val="bottom"/>
          </w:tcPr>
          <w:p w14:paraId="2D69B360" w14:textId="77777777" w:rsidR="003B314F" w:rsidRDefault="001764E9">
            <w:pPr>
              <w:spacing w:beforeAutospacing="1" w:afterAutospacing="1"/>
              <w:jc w:val="right"/>
            </w:pPr>
            <w:r>
              <w:rPr>
                <w:color w:val="000000"/>
              </w:rPr>
              <w:t>4</w:t>
            </w:r>
          </w:p>
        </w:tc>
        <w:tc>
          <w:tcPr>
            <w:tcW w:w="2649" w:type="dxa"/>
            <w:vAlign w:val="bottom"/>
          </w:tcPr>
          <w:p w14:paraId="4B133747" w14:textId="77777777" w:rsidR="003B314F" w:rsidRDefault="001764E9">
            <w:pPr>
              <w:spacing w:beforeAutospacing="1" w:afterAutospacing="1"/>
              <w:jc w:val="right"/>
            </w:pPr>
            <w:r>
              <w:rPr>
                <w:color w:val="000000"/>
              </w:rPr>
              <w:t>0</w:t>
            </w:r>
          </w:p>
        </w:tc>
      </w:tr>
      <w:tr w:rsidR="003B314F" w14:paraId="0EFEA6F5" w14:textId="77777777">
        <w:trPr>
          <w:cantSplit/>
        </w:trPr>
        <w:tc>
          <w:tcPr>
            <w:tcW w:w="4293" w:type="dxa"/>
          </w:tcPr>
          <w:p w14:paraId="17D328B6" w14:textId="77777777" w:rsidR="003B314F" w:rsidRDefault="001764E9">
            <w:pPr>
              <w:spacing w:beforeAutospacing="1" w:afterAutospacing="1"/>
            </w:pPr>
            <w:r>
              <w:rPr>
                <w:b/>
                <w:color w:val="000000"/>
              </w:rPr>
              <w:t>Total</w:t>
            </w:r>
          </w:p>
        </w:tc>
        <w:tc>
          <w:tcPr>
            <w:tcW w:w="2648" w:type="dxa"/>
            <w:vAlign w:val="bottom"/>
          </w:tcPr>
          <w:p w14:paraId="1ACD8485" w14:textId="77777777" w:rsidR="003B314F" w:rsidRDefault="001764E9">
            <w:pPr>
              <w:spacing w:beforeAutospacing="1" w:afterAutospacing="1"/>
              <w:jc w:val="right"/>
            </w:pPr>
            <w:r>
              <w:rPr>
                <w:b/>
                <w:color w:val="000000"/>
              </w:rPr>
              <w:t>1,210</w:t>
            </w:r>
          </w:p>
        </w:tc>
        <w:tc>
          <w:tcPr>
            <w:tcW w:w="2649" w:type="dxa"/>
            <w:vAlign w:val="bottom"/>
          </w:tcPr>
          <w:p w14:paraId="596190D8" w14:textId="77777777" w:rsidR="003B314F" w:rsidRDefault="001764E9">
            <w:pPr>
              <w:spacing w:beforeAutospacing="1" w:afterAutospacing="1"/>
              <w:jc w:val="right"/>
            </w:pPr>
            <w:r>
              <w:rPr>
                <w:b/>
                <w:color w:val="000000"/>
              </w:rPr>
              <w:t>152</w:t>
            </w:r>
          </w:p>
        </w:tc>
      </w:tr>
    </w:tbl>
    <w:p w14:paraId="5A57BB7A" w14:textId="77777777" w:rsidR="003B314F" w:rsidRDefault="001764E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Number of Households</w:t>
      </w:r>
    </w:p>
    <w:p w14:paraId="72C0132E" w14:textId="77777777" w:rsidR="003B314F" w:rsidRDefault="003B314F"/>
    <w:p w14:paraId="4DACC013" w14:textId="77777777" w:rsidR="003B314F" w:rsidRDefault="003B314F"/>
    <w:p w14:paraId="7751762F" w14:textId="77777777" w:rsidR="003B314F" w:rsidRDefault="003B314F">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3B314F" w14:paraId="06A420CB" w14:textId="77777777">
        <w:trPr>
          <w:cantSplit/>
          <w:tblHeader/>
        </w:trPr>
        <w:tc>
          <w:tcPr>
            <w:tcW w:w="4293" w:type="dxa"/>
          </w:tcPr>
          <w:p w14:paraId="0B2FEEC0" w14:textId="77777777" w:rsidR="003B314F" w:rsidRDefault="003B314F">
            <w:pPr>
              <w:pStyle w:val="Caption"/>
              <w:keepNext/>
              <w:widowControl w:val="0"/>
              <w:jc w:val="center"/>
              <w:rPr>
                <w:rFonts w:ascii="Calibri" w:hAnsi="Calibri"/>
                <w:sz w:val="22"/>
                <w:szCs w:val="22"/>
              </w:rPr>
            </w:pPr>
          </w:p>
        </w:tc>
        <w:tc>
          <w:tcPr>
            <w:tcW w:w="2648" w:type="dxa"/>
          </w:tcPr>
          <w:p w14:paraId="48E6F106" w14:textId="77777777" w:rsidR="003B314F" w:rsidRDefault="001764E9">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5EB952A3" w14:textId="77777777" w:rsidR="003B314F" w:rsidRDefault="001764E9">
            <w:pPr>
              <w:pStyle w:val="Caption"/>
              <w:keepNext/>
              <w:widowControl w:val="0"/>
              <w:jc w:val="center"/>
              <w:rPr>
                <w:rFonts w:ascii="Calibri" w:hAnsi="Calibri"/>
                <w:sz w:val="22"/>
                <w:szCs w:val="22"/>
              </w:rPr>
            </w:pPr>
            <w:r>
              <w:rPr>
                <w:rFonts w:ascii="Calibri" w:hAnsi="Calibri"/>
                <w:sz w:val="22"/>
                <w:szCs w:val="22"/>
              </w:rPr>
              <w:t>Actual</w:t>
            </w:r>
          </w:p>
        </w:tc>
      </w:tr>
      <w:tr w:rsidR="003B314F" w14:paraId="77D3889D" w14:textId="77777777">
        <w:trPr>
          <w:cantSplit/>
        </w:trPr>
        <w:tc>
          <w:tcPr>
            <w:tcW w:w="4293" w:type="dxa"/>
            <w:vAlign w:val="bottom"/>
          </w:tcPr>
          <w:p w14:paraId="618ABC99" w14:textId="77777777" w:rsidR="003B314F" w:rsidRDefault="001764E9">
            <w:pPr>
              <w:spacing w:beforeAutospacing="1" w:afterAutospacing="1"/>
            </w:pPr>
            <w:r>
              <w:rPr>
                <w:color w:val="000000"/>
              </w:rPr>
              <w:t>Number of households supported through Rental Assistance</w:t>
            </w:r>
          </w:p>
        </w:tc>
        <w:tc>
          <w:tcPr>
            <w:tcW w:w="2648" w:type="dxa"/>
            <w:vAlign w:val="bottom"/>
          </w:tcPr>
          <w:p w14:paraId="227223E8" w14:textId="77777777" w:rsidR="003B314F" w:rsidRDefault="001764E9">
            <w:pPr>
              <w:spacing w:beforeAutospacing="1" w:afterAutospacing="1"/>
              <w:jc w:val="right"/>
            </w:pPr>
            <w:r>
              <w:rPr>
                <w:color w:val="000000"/>
              </w:rPr>
              <w:t>1,000</w:t>
            </w:r>
          </w:p>
        </w:tc>
        <w:tc>
          <w:tcPr>
            <w:tcW w:w="2649" w:type="dxa"/>
            <w:vAlign w:val="bottom"/>
          </w:tcPr>
          <w:p w14:paraId="0FD84B75" w14:textId="77777777" w:rsidR="003B314F" w:rsidRDefault="001764E9">
            <w:pPr>
              <w:spacing w:beforeAutospacing="1" w:afterAutospacing="1"/>
              <w:jc w:val="right"/>
            </w:pPr>
            <w:r>
              <w:rPr>
                <w:color w:val="000000"/>
              </w:rPr>
              <w:t>0</w:t>
            </w:r>
          </w:p>
        </w:tc>
      </w:tr>
      <w:tr w:rsidR="003B314F" w14:paraId="25AFCFC6" w14:textId="77777777">
        <w:trPr>
          <w:cantSplit/>
        </w:trPr>
        <w:tc>
          <w:tcPr>
            <w:tcW w:w="4293" w:type="dxa"/>
            <w:vAlign w:val="bottom"/>
          </w:tcPr>
          <w:p w14:paraId="092CE952" w14:textId="77777777" w:rsidR="003B314F" w:rsidRDefault="001764E9">
            <w:pPr>
              <w:spacing w:beforeAutospacing="1" w:afterAutospacing="1"/>
            </w:pPr>
            <w:r>
              <w:rPr>
                <w:color w:val="000000"/>
              </w:rPr>
              <w:t>Number of households supported through The Production of New Units</w:t>
            </w:r>
          </w:p>
        </w:tc>
        <w:tc>
          <w:tcPr>
            <w:tcW w:w="2648" w:type="dxa"/>
            <w:vAlign w:val="bottom"/>
          </w:tcPr>
          <w:p w14:paraId="1AFFB30D" w14:textId="77777777" w:rsidR="003B314F" w:rsidRDefault="001764E9">
            <w:pPr>
              <w:spacing w:beforeAutospacing="1" w:afterAutospacing="1"/>
              <w:jc w:val="right"/>
            </w:pPr>
            <w:r>
              <w:rPr>
                <w:color w:val="000000"/>
              </w:rPr>
              <w:t>104</w:t>
            </w:r>
          </w:p>
        </w:tc>
        <w:tc>
          <w:tcPr>
            <w:tcW w:w="2649" w:type="dxa"/>
            <w:vAlign w:val="bottom"/>
          </w:tcPr>
          <w:p w14:paraId="5E84BF68" w14:textId="77777777" w:rsidR="003B314F" w:rsidRDefault="001764E9">
            <w:pPr>
              <w:spacing w:beforeAutospacing="1" w:afterAutospacing="1"/>
              <w:jc w:val="right"/>
            </w:pPr>
            <w:r>
              <w:rPr>
                <w:color w:val="000000"/>
              </w:rPr>
              <w:t>83</w:t>
            </w:r>
          </w:p>
        </w:tc>
      </w:tr>
      <w:tr w:rsidR="003B314F" w14:paraId="321D437C" w14:textId="77777777">
        <w:trPr>
          <w:cantSplit/>
        </w:trPr>
        <w:tc>
          <w:tcPr>
            <w:tcW w:w="4293" w:type="dxa"/>
            <w:vAlign w:val="bottom"/>
          </w:tcPr>
          <w:p w14:paraId="64C2B459" w14:textId="77777777" w:rsidR="003B314F" w:rsidRDefault="001764E9">
            <w:pPr>
              <w:spacing w:beforeAutospacing="1" w:afterAutospacing="1"/>
            </w:pPr>
            <w:r>
              <w:rPr>
                <w:color w:val="000000"/>
              </w:rPr>
              <w:t>Number of households supported through Rehab of Existing Units</w:t>
            </w:r>
          </w:p>
        </w:tc>
        <w:tc>
          <w:tcPr>
            <w:tcW w:w="2648" w:type="dxa"/>
            <w:vAlign w:val="bottom"/>
          </w:tcPr>
          <w:p w14:paraId="1C8D96DF" w14:textId="77777777" w:rsidR="003B314F" w:rsidRDefault="001764E9">
            <w:pPr>
              <w:spacing w:beforeAutospacing="1" w:afterAutospacing="1"/>
              <w:jc w:val="right"/>
            </w:pPr>
            <w:r>
              <w:rPr>
                <w:color w:val="000000"/>
              </w:rPr>
              <w:t>106</w:t>
            </w:r>
          </w:p>
        </w:tc>
        <w:tc>
          <w:tcPr>
            <w:tcW w:w="2649" w:type="dxa"/>
            <w:vAlign w:val="bottom"/>
          </w:tcPr>
          <w:p w14:paraId="7EE1A8FF" w14:textId="77777777" w:rsidR="003B314F" w:rsidRDefault="001764E9">
            <w:pPr>
              <w:spacing w:beforeAutospacing="1" w:afterAutospacing="1"/>
              <w:jc w:val="right"/>
            </w:pPr>
            <w:r>
              <w:rPr>
                <w:color w:val="000000"/>
              </w:rPr>
              <w:t>53</w:t>
            </w:r>
          </w:p>
        </w:tc>
      </w:tr>
      <w:tr w:rsidR="003B314F" w14:paraId="5B1D964E" w14:textId="77777777">
        <w:trPr>
          <w:cantSplit/>
        </w:trPr>
        <w:tc>
          <w:tcPr>
            <w:tcW w:w="4293" w:type="dxa"/>
            <w:vAlign w:val="bottom"/>
          </w:tcPr>
          <w:p w14:paraId="27B2C7D6" w14:textId="77777777" w:rsidR="003B314F" w:rsidRDefault="001764E9">
            <w:pPr>
              <w:spacing w:beforeAutospacing="1" w:afterAutospacing="1"/>
            </w:pPr>
            <w:r>
              <w:rPr>
                <w:color w:val="000000"/>
              </w:rPr>
              <w:t>Number of households supported through Acquisition of Existing Units</w:t>
            </w:r>
          </w:p>
        </w:tc>
        <w:tc>
          <w:tcPr>
            <w:tcW w:w="2648" w:type="dxa"/>
            <w:vAlign w:val="bottom"/>
          </w:tcPr>
          <w:p w14:paraId="10A923C7" w14:textId="77777777" w:rsidR="003B314F" w:rsidRDefault="001764E9">
            <w:pPr>
              <w:spacing w:beforeAutospacing="1" w:afterAutospacing="1"/>
              <w:jc w:val="right"/>
            </w:pPr>
            <w:r>
              <w:rPr>
                <w:color w:val="000000"/>
              </w:rPr>
              <w:t>0</w:t>
            </w:r>
          </w:p>
        </w:tc>
        <w:tc>
          <w:tcPr>
            <w:tcW w:w="2649" w:type="dxa"/>
            <w:vAlign w:val="bottom"/>
          </w:tcPr>
          <w:p w14:paraId="43CE4443" w14:textId="77777777" w:rsidR="003B314F" w:rsidRDefault="001764E9">
            <w:pPr>
              <w:spacing w:beforeAutospacing="1" w:afterAutospacing="1"/>
              <w:jc w:val="right"/>
            </w:pPr>
            <w:r>
              <w:rPr>
                <w:color w:val="000000"/>
              </w:rPr>
              <w:t>16</w:t>
            </w:r>
          </w:p>
        </w:tc>
      </w:tr>
      <w:tr w:rsidR="003B314F" w14:paraId="32C30607" w14:textId="77777777">
        <w:trPr>
          <w:cantSplit/>
        </w:trPr>
        <w:tc>
          <w:tcPr>
            <w:tcW w:w="4293" w:type="dxa"/>
          </w:tcPr>
          <w:p w14:paraId="191C119E" w14:textId="77777777" w:rsidR="003B314F" w:rsidRDefault="001764E9">
            <w:pPr>
              <w:spacing w:beforeAutospacing="1" w:afterAutospacing="1"/>
            </w:pPr>
            <w:r>
              <w:rPr>
                <w:b/>
                <w:color w:val="000000"/>
              </w:rPr>
              <w:t>Total</w:t>
            </w:r>
          </w:p>
        </w:tc>
        <w:tc>
          <w:tcPr>
            <w:tcW w:w="2648" w:type="dxa"/>
            <w:vAlign w:val="bottom"/>
          </w:tcPr>
          <w:p w14:paraId="64DCA7B9" w14:textId="77777777" w:rsidR="003B314F" w:rsidRDefault="001764E9">
            <w:pPr>
              <w:spacing w:beforeAutospacing="1" w:afterAutospacing="1"/>
              <w:jc w:val="right"/>
            </w:pPr>
            <w:r>
              <w:rPr>
                <w:b/>
                <w:color w:val="000000"/>
              </w:rPr>
              <w:t>1,210</w:t>
            </w:r>
          </w:p>
        </w:tc>
        <w:tc>
          <w:tcPr>
            <w:tcW w:w="2649" w:type="dxa"/>
            <w:vAlign w:val="bottom"/>
          </w:tcPr>
          <w:p w14:paraId="001B4F6F" w14:textId="77777777" w:rsidR="003B314F" w:rsidRDefault="001764E9">
            <w:pPr>
              <w:spacing w:beforeAutospacing="1" w:afterAutospacing="1"/>
              <w:jc w:val="right"/>
            </w:pPr>
            <w:r>
              <w:rPr>
                <w:b/>
                <w:color w:val="000000"/>
              </w:rPr>
              <w:t>152</w:t>
            </w:r>
          </w:p>
        </w:tc>
      </w:tr>
    </w:tbl>
    <w:p w14:paraId="7ECB16ED" w14:textId="77777777" w:rsidR="003B314F" w:rsidRDefault="001764E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Number of Households Supported</w:t>
      </w:r>
    </w:p>
    <w:p w14:paraId="503B8F43" w14:textId="77777777" w:rsidR="003B314F" w:rsidRDefault="003B314F">
      <w:pPr>
        <w:rPr>
          <w:rFonts w:cs="Arial"/>
        </w:rPr>
      </w:pPr>
    </w:p>
    <w:p w14:paraId="17F3DF46" w14:textId="77777777" w:rsidR="003B314F" w:rsidRDefault="003B314F">
      <w:pPr>
        <w:rPr>
          <w:rFonts w:cs="Arial"/>
        </w:rPr>
      </w:pPr>
    </w:p>
    <w:p w14:paraId="01C9436B" w14:textId="77777777" w:rsidR="003B314F" w:rsidRDefault="001764E9">
      <w:pPr>
        <w:widowControl w:val="0"/>
        <w:spacing w:line="204" w:lineRule="auto"/>
        <w:rPr>
          <w:b/>
          <w:sz w:val="24"/>
          <w:szCs w:val="24"/>
        </w:rPr>
      </w:pPr>
      <w:r>
        <w:rPr>
          <w:b/>
          <w:sz w:val="24"/>
          <w:szCs w:val="24"/>
        </w:rPr>
        <w:t>Discuss the difference between goals and outcomes and problems encountered in meeting these goals.</w:t>
      </w:r>
    </w:p>
    <w:p w14:paraId="212C222F" w14:textId="77777777" w:rsidR="003B314F" w:rsidRDefault="001764E9">
      <w:pPr>
        <w:spacing w:beforeAutospacing="1" w:afterAutospacing="1"/>
        <w:rPr>
          <w:rFonts w:cs="Arial"/>
        </w:rPr>
      </w:pPr>
      <w:r>
        <w:rPr>
          <w:rFonts w:cs="Arial"/>
        </w:rPr>
        <w:t xml:space="preserve">While the City made notable progress in its affordable housing goals for 2024, there were some discrepancies between planned and actual outcomes. The </w:t>
      </w:r>
      <w:proofErr w:type="spellStart"/>
      <w:proofErr w:type="gramStart"/>
      <w:r>
        <w:rPr>
          <w:rFonts w:cs="Arial"/>
        </w:rPr>
        <w:t>mot</w:t>
      </w:r>
      <w:proofErr w:type="spellEnd"/>
      <w:proofErr w:type="gramEnd"/>
      <w:r>
        <w:rPr>
          <w:rFonts w:cs="Arial"/>
        </w:rPr>
        <w:t xml:space="preserve"> significant shortfall occurred in the Rehab of Existing Units category. A planned project at Liberty Terrace, which would have supported 58 households through rehab, was delayed due to staffing turnover within the organization’s management company. Additionally, Community Action Program of Evansville’s Owner-Occupied Rehab program fell slightly short of its goal, largely due to being a </w:t>
      </w:r>
      <w:proofErr w:type="gramStart"/>
      <w:r>
        <w:rPr>
          <w:rFonts w:cs="Arial"/>
        </w:rPr>
        <w:t>recently-relaunched</w:t>
      </w:r>
      <w:proofErr w:type="gramEnd"/>
      <w:r>
        <w:rPr>
          <w:rFonts w:cs="Arial"/>
        </w:rPr>
        <w:t xml:space="preserve"> program with newer staff. The </w:t>
      </w:r>
      <w:r>
        <w:rPr>
          <w:rFonts w:cs="Arial"/>
        </w:rPr>
        <w:lastRenderedPageBreak/>
        <w:t>program experienced slower than expected ramp-up, though progress has</w:t>
      </w:r>
      <w:r>
        <w:rPr>
          <w:rFonts w:cs="Arial"/>
        </w:rPr>
        <w:t xml:space="preserve"> increased and is expected to further improve during the 205 Program Year.</w:t>
      </w:r>
    </w:p>
    <w:p w14:paraId="35283567" w14:textId="77777777" w:rsidR="003B314F" w:rsidRDefault="001764E9">
      <w:pPr>
        <w:spacing w:beforeAutospacing="1" w:afterAutospacing="1"/>
        <w:rPr>
          <w:rFonts w:cs="Arial"/>
        </w:rPr>
      </w:pPr>
      <w:r>
        <w:rPr>
          <w:rFonts w:cs="Arial"/>
        </w:rPr>
        <w:t xml:space="preserve">The Production of New Units ended at 83, slightly below the AP goal of 104. These 83 actual units produced reflect realistic capacity and matched internal expectations. The acquisition goal was listed as zero, but HOPE of Evansville assisted 16 households through its Down Payment Assistance program. This accomplishment was not captured in the original </w:t>
      </w:r>
      <w:proofErr w:type="gramStart"/>
      <w:r>
        <w:rPr>
          <w:rFonts w:cs="Arial"/>
        </w:rPr>
        <w:t>goal, but</w:t>
      </w:r>
      <w:proofErr w:type="gramEnd"/>
      <w:r>
        <w:rPr>
          <w:rFonts w:cs="Arial"/>
        </w:rPr>
        <w:t xml:space="preserve"> had meaningful impact.</w:t>
      </w:r>
    </w:p>
    <w:p w14:paraId="6295701B" w14:textId="77777777" w:rsidR="003B314F" w:rsidRDefault="001764E9">
      <w:pPr>
        <w:widowControl w:val="0"/>
        <w:spacing w:line="204" w:lineRule="auto"/>
        <w:rPr>
          <w:b/>
          <w:sz w:val="24"/>
          <w:szCs w:val="24"/>
        </w:rPr>
      </w:pPr>
      <w:r>
        <w:rPr>
          <w:b/>
          <w:sz w:val="24"/>
          <w:szCs w:val="24"/>
        </w:rPr>
        <w:t>Discuss how these outcomes will impact future annual action plans.</w:t>
      </w:r>
    </w:p>
    <w:p w14:paraId="19FAA4C9" w14:textId="77777777" w:rsidR="003B314F" w:rsidRDefault="001764E9">
      <w:pPr>
        <w:spacing w:beforeAutospacing="1" w:afterAutospacing="1"/>
        <w:rPr>
          <w:rFonts w:cs="Arial"/>
        </w:rPr>
      </w:pPr>
      <w:r>
        <w:rPr>
          <w:rFonts w:cs="Arial"/>
        </w:rPr>
        <w:t xml:space="preserve">Moving forward, the City will adjust </w:t>
      </w:r>
      <w:proofErr w:type="gramStart"/>
      <w:r>
        <w:rPr>
          <w:rFonts w:cs="Arial"/>
        </w:rPr>
        <w:t>goal-setting</w:t>
      </w:r>
      <w:proofErr w:type="gramEnd"/>
      <w:r>
        <w:rPr>
          <w:rFonts w:cs="Arial"/>
        </w:rPr>
        <w:t xml:space="preserve"> to better reflect project readiness, staffing capacity internally and externally, and the maturity of newer programs. For example, future action plans will include more conservative new unit targets unless project commitments are fully secured and near </w:t>
      </w:r>
      <w:proofErr w:type="gramStart"/>
      <w:r>
        <w:rPr>
          <w:rFonts w:cs="Arial"/>
        </w:rPr>
        <w:t>shovel-ready</w:t>
      </w:r>
      <w:proofErr w:type="gramEnd"/>
      <w:r>
        <w:rPr>
          <w:rFonts w:cs="Arial"/>
        </w:rPr>
        <w:t xml:space="preserve">. Additionally, homeownership support programs like down payment assistance will be incorporated more intentionally into </w:t>
      </w:r>
      <w:proofErr w:type="gramStart"/>
      <w:r>
        <w:rPr>
          <w:rFonts w:cs="Arial"/>
        </w:rPr>
        <w:t>goal-setting</w:t>
      </w:r>
      <w:proofErr w:type="gramEnd"/>
      <w:r>
        <w:rPr>
          <w:rFonts w:cs="Arial"/>
        </w:rPr>
        <w:t>. Continued communication with subrecipient partners and early identification of potential delays wil</w:t>
      </w:r>
      <w:r>
        <w:rPr>
          <w:rFonts w:cs="Arial"/>
        </w:rPr>
        <w:t>l support more accurate forecasting and outcomes tracking in future program years.</w:t>
      </w:r>
    </w:p>
    <w:p w14:paraId="3F9078DA" w14:textId="77777777" w:rsidR="003B314F" w:rsidRDefault="001764E9">
      <w:pPr>
        <w:keepNext/>
        <w:widowControl w:val="0"/>
        <w:spacing w:line="204" w:lineRule="auto"/>
        <w:rPr>
          <w:b/>
          <w:sz w:val="24"/>
          <w:szCs w:val="24"/>
        </w:rPr>
      </w:pPr>
      <w:r>
        <w:rPr>
          <w:b/>
          <w:sz w:val="24"/>
          <w:szCs w:val="24"/>
        </w:rPr>
        <w:t xml:space="preserve">Include the number of extremely low-income, low-income, and moderate-income </w:t>
      </w:r>
      <w:proofErr w:type="gramStart"/>
      <w:r>
        <w:rPr>
          <w:b/>
          <w:sz w:val="24"/>
          <w:szCs w:val="24"/>
        </w:rPr>
        <w:t>persons</w:t>
      </w:r>
      <w:proofErr w:type="gramEnd"/>
      <w:r>
        <w:rPr>
          <w:b/>
          <w:sz w:val="24"/>
          <w:szCs w:val="24"/>
        </w:rPr>
        <w:t xml:space="preserve"> served by each activity where information on income by family size is required to determine the eligibility of the activity.</w:t>
      </w:r>
    </w:p>
    <w:p w14:paraId="24792820" w14:textId="77777777" w:rsidR="003B314F" w:rsidRDefault="003B314F">
      <w:pPr>
        <w:widowControl w:val="0"/>
        <w:spacing w:line="204" w:lineRule="auto"/>
        <w:rPr>
          <w:b/>
          <w:vanish/>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890"/>
        <w:gridCol w:w="25"/>
      </w:tblGrid>
      <w:tr w:rsidR="003B314F" w14:paraId="748024A7" w14:textId="77777777">
        <w:trPr>
          <w:cantSplit/>
        </w:trPr>
        <w:tc>
          <w:tcPr>
            <w:tcW w:w="4081" w:type="dxa"/>
          </w:tcPr>
          <w:p w14:paraId="570520CD" w14:textId="77777777" w:rsidR="003B314F" w:rsidRDefault="001764E9">
            <w:pPr>
              <w:keepNext/>
              <w:widowControl w:val="0"/>
              <w:spacing w:after="0" w:line="240" w:lineRule="auto"/>
              <w:jc w:val="center"/>
              <w:rPr>
                <w:b/>
              </w:rPr>
            </w:pPr>
            <w:proofErr w:type="gramStart"/>
            <w:r>
              <w:rPr>
                <w:b/>
              </w:rPr>
              <w:t>Number  of</w:t>
            </w:r>
            <w:proofErr w:type="gramEnd"/>
            <w:r>
              <w:rPr>
                <w:b/>
              </w:rPr>
              <w:t xml:space="preserve"> Households Served</w:t>
            </w:r>
          </w:p>
        </w:tc>
        <w:tc>
          <w:tcPr>
            <w:tcW w:w="1859" w:type="dxa"/>
          </w:tcPr>
          <w:p w14:paraId="7AC835C1" w14:textId="77777777" w:rsidR="003B314F" w:rsidRDefault="001764E9">
            <w:pPr>
              <w:keepNext/>
              <w:widowControl w:val="0"/>
              <w:spacing w:after="0" w:line="240" w:lineRule="auto"/>
              <w:jc w:val="center"/>
              <w:rPr>
                <w:b/>
              </w:rPr>
            </w:pPr>
            <w:r>
              <w:rPr>
                <w:b/>
              </w:rPr>
              <w:t>CDBG Actual</w:t>
            </w:r>
          </w:p>
        </w:tc>
        <w:tc>
          <w:tcPr>
            <w:tcW w:w="1915" w:type="dxa"/>
            <w:gridSpan w:val="2"/>
          </w:tcPr>
          <w:p w14:paraId="6DC332C8" w14:textId="77777777" w:rsidR="003B314F" w:rsidRDefault="001764E9">
            <w:pPr>
              <w:keepNext/>
              <w:widowControl w:val="0"/>
              <w:spacing w:after="0" w:line="240" w:lineRule="auto"/>
              <w:jc w:val="center"/>
              <w:rPr>
                <w:b/>
              </w:rPr>
            </w:pPr>
            <w:r>
              <w:rPr>
                <w:b/>
              </w:rPr>
              <w:t>HOME Actual</w:t>
            </w:r>
          </w:p>
        </w:tc>
      </w:tr>
      <w:tr w:rsidR="003B314F" w14:paraId="45211321" w14:textId="77777777">
        <w:trPr>
          <w:gridAfter w:val="1"/>
          <w:wAfter w:w="25" w:type="dxa"/>
          <w:cantSplit/>
        </w:trPr>
        <w:tc>
          <w:tcPr>
            <w:tcW w:w="4081" w:type="dxa"/>
            <w:vAlign w:val="bottom"/>
          </w:tcPr>
          <w:p w14:paraId="730B2090" w14:textId="77777777" w:rsidR="003B314F" w:rsidRDefault="001764E9">
            <w:pPr>
              <w:spacing w:beforeAutospacing="1" w:afterAutospacing="1"/>
            </w:pPr>
            <w:r>
              <w:rPr>
                <w:color w:val="000000"/>
              </w:rPr>
              <w:t>Extremely Low-income</w:t>
            </w:r>
          </w:p>
        </w:tc>
        <w:tc>
          <w:tcPr>
            <w:tcW w:w="1859" w:type="dxa"/>
            <w:vAlign w:val="bottom"/>
          </w:tcPr>
          <w:p w14:paraId="0CED24EF" w14:textId="77777777" w:rsidR="003B314F" w:rsidRDefault="001764E9">
            <w:pPr>
              <w:spacing w:beforeAutospacing="1" w:afterAutospacing="1"/>
              <w:jc w:val="right"/>
            </w:pPr>
            <w:r>
              <w:rPr>
                <w:color w:val="000000"/>
              </w:rPr>
              <w:t>5</w:t>
            </w:r>
          </w:p>
        </w:tc>
        <w:tc>
          <w:tcPr>
            <w:tcW w:w="1890" w:type="dxa"/>
            <w:vAlign w:val="bottom"/>
          </w:tcPr>
          <w:p w14:paraId="00AE989B" w14:textId="77777777" w:rsidR="003B314F" w:rsidRDefault="001764E9">
            <w:pPr>
              <w:spacing w:beforeAutospacing="1" w:afterAutospacing="1"/>
              <w:jc w:val="right"/>
            </w:pPr>
            <w:r>
              <w:rPr>
                <w:color w:val="000000"/>
              </w:rPr>
              <w:t>15</w:t>
            </w:r>
          </w:p>
        </w:tc>
      </w:tr>
      <w:tr w:rsidR="003B314F" w14:paraId="51DBD530" w14:textId="77777777">
        <w:trPr>
          <w:gridAfter w:val="1"/>
          <w:wAfter w:w="25" w:type="dxa"/>
          <w:cantSplit/>
        </w:trPr>
        <w:tc>
          <w:tcPr>
            <w:tcW w:w="4081" w:type="dxa"/>
            <w:vAlign w:val="bottom"/>
          </w:tcPr>
          <w:p w14:paraId="20E7A1E6" w14:textId="77777777" w:rsidR="003B314F" w:rsidRDefault="001764E9">
            <w:pPr>
              <w:spacing w:beforeAutospacing="1" w:afterAutospacing="1"/>
            </w:pPr>
            <w:r>
              <w:rPr>
                <w:color w:val="000000"/>
              </w:rPr>
              <w:t>Low-income</w:t>
            </w:r>
          </w:p>
        </w:tc>
        <w:tc>
          <w:tcPr>
            <w:tcW w:w="1859" w:type="dxa"/>
            <w:vAlign w:val="bottom"/>
          </w:tcPr>
          <w:p w14:paraId="713AA960" w14:textId="77777777" w:rsidR="003B314F" w:rsidRDefault="001764E9">
            <w:pPr>
              <w:spacing w:beforeAutospacing="1" w:afterAutospacing="1"/>
              <w:jc w:val="right"/>
            </w:pPr>
            <w:r>
              <w:rPr>
                <w:color w:val="000000"/>
              </w:rPr>
              <w:t>7</w:t>
            </w:r>
          </w:p>
        </w:tc>
        <w:tc>
          <w:tcPr>
            <w:tcW w:w="1890" w:type="dxa"/>
            <w:vAlign w:val="bottom"/>
          </w:tcPr>
          <w:p w14:paraId="7280CA3F" w14:textId="77777777" w:rsidR="003B314F" w:rsidRDefault="001764E9">
            <w:pPr>
              <w:spacing w:beforeAutospacing="1" w:afterAutospacing="1"/>
              <w:jc w:val="right"/>
            </w:pPr>
            <w:r>
              <w:rPr>
                <w:color w:val="000000"/>
              </w:rPr>
              <w:t>2</w:t>
            </w:r>
          </w:p>
        </w:tc>
      </w:tr>
      <w:tr w:rsidR="003B314F" w14:paraId="3A0383C0" w14:textId="77777777">
        <w:trPr>
          <w:gridAfter w:val="1"/>
          <w:wAfter w:w="25" w:type="dxa"/>
          <w:cantSplit/>
        </w:trPr>
        <w:tc>
          <w:tcPr>
            <w:tcW w:w="4081" w:type="dxa"/>
            <w:vAlign w:val="bottom"/>
          </w:tcPr>
          <w:p w14:paraId="798E677A" w14:textId="77777777" w:rsidR="003B314F" w:rsidRDefault="001764E9">
            <w:pPr>
              <w:spacing w:beforeAutospacing="1" w:afterAutospacing="1"/>
            </w:pPr>
            <w:r>
              <w:rPr>
                <w:color w:val="000000"/>
              </w:rPr>
              <w:t>Moderate-income</w:t>
            </w:r>
          </w:p>
        </w:tc>
        <w:tc>
          <w:tcPr>
            <w:tcW w:w="1859" w:type="dxa"/>
            <w:vAlign w:val="bottom"/>
          </w:tcPr>
          <w:p w14:paraId="6724B9BD" w14:textId="77777777" w:rsidR="003B314F" w:rsidRDefault="001764E9">
            <w:pPr>
              <w:spacing w:beforeAutospacing="1" w:afterAutospacing="1"/>
              <w:jc w:val="right"/>
            </w:pPr>
            <w:r>
              <w:rPr>
                <w:color w:val="000000"/>
              </w:rPr>
              <w:t>18</w:t>
            </w:r>
          </w:p>
        </w:tc>
        <w:tc>
          <w:tcPr>
            <w:tcW w:w="1890" w:type="dxa"/>
            <w:vAlign w:val="bottom"/>
          </w:tcPr>
          <w:p w14:paraId="06F682C5" w14:textId="77777777" w:rsidR="003B314F" w:rsidRDefault="001764E9">
            <w:pPr>
              <w:spacing w:beforeAutospacing="1" w:afterAutospacing="1"/>
              <w:jc w:val="right"/>
            </w:pPr>
            <w:r>
              <w:rPr>
                <w:color w:val="000000"/>
              </w:rPr>
              <w:t>3</w:t>
            </w:r>
          </w:p>
        </w:tc>
      </w:tr>
      <w:tr w:rsidR="003B314F" w14:paraId="156A42F8" w14:textId="77777777">
        <w:trPr>
          <w:gridAfter w:val="1"/>
          <w:wAfter w:w="25" w:type="dxa"/>
          <w:cantSplit/>
        </w:trPr>
        <w:tc>
          <w:tcPr>
            <w:tcW w:w="4081" w:type="dxa"/>
            <w:vAlign w:val="bottom"/>
          </w:tcPr>
          <w:p w14:paraId="33E241D4" w14:textId="77777777" w:rsidR="003B314F" w:rsidRDefault="001764E9">
            <w:pPr>
              <w:spacing w:beforeAutospacing="1" w:afterAutospacing="1"/>
            </w:pPr>
            <w:r>
              <w:rPr>
                <w:b/>
                <w:color w:val="000000"/>
              </w:rPr>
              <w:t>Total</w:t>
            </w:r>
          </w:p>
        </w:tc>
        <w:tc>
          <w:tcPr>
            <w:tcW w:w="1859" w:type="dxa"/>
            <w:vAlign w:val="bottom"/>
          </w:tcPr>
          <w:p w14:paraId="0A043D22" w14:textId="77777777" w:rsidR="003B314F" w:rsidRDefault="001764E9">
            <w:pPr>
              <w:spacing w:beforeAutospacing="1" w:afterAutospacing="1"/>
              <w:jc w:val="right"/>
            </w:pPr>
            <w:r>
              <w:rPr>
                <w:b/>
                <w:color w:val="000000"/>
              </w:rPr>
              <w:t>30</w:t>
            </w:r>
          </w:p>
        </w:tc>
        <w:tc>
          <w:tcPr>
            <w:tcW w:w="1890" w:type="dxa"/>
            <w:vAlign w:val="bottom"/>
          </w:tcPr>
          <w:p w14:paraId="5FA9F008" w14:textId="77777777" w:rsidR="003B314F" w:rsidRDefault="001764E9">
            <w:pPr>
              <w:spacing w:beforeAutospacing="1" w:afterAutospacing="1"/>
              <w:jc w:val="right"/>
            </w:pPr>
            <w:r>
              <w:rPr>
                <w:b/>
                <w:color w:val="000000"/>
              </w:rPr>
              <w:t>20</w:t>
            </w:r>
          </w:p>
        </w:tc>
      </w:tr>
    </w:tbl>
    <w:p w14:paraId="2897D254" w14:textId="77777777" w:rsidR="003B314F" w:rsidRDefault="001764E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Number of Households Served</w:t>
      </w:r>
    </w:p>
    <w:p w14:paraId="636C96C3" w14:textId="77777777" w:rsidR="003B314F" w:rsidRDefault="003B314F">
      <w:pPr>
        <w:widowControl w:val="0"/>
        <w:spacing w:line="204" w:lineRule="auto"/>
        <w:rPr>
          <w:b/>
          <w:sz w:val="24"/>
          <w:szCs w:val="24"/>
        </w:rPr>
      </w:pPr>
    </w:p>
    <w:p w14:paraId="57E0A429" w14:textId="77777777" w:rsidR="003B314F" w:rsidRDefault="003B314F">
      <w:pPr>
        <w:widowControl w:val="0"/>
        <w:spacing w:line="204" w:lineRule="auto"/>
        <w:rPr>
          <w:b/>
          <w:sz w:val="24"/>
          <w:szCs w:val="24"/>
        </w:rPr>
      </w:pPr>
    </w:p>
    <w:p w14:paraId="60069342" w14:textId="77777777" w:rsidR="003B314F" w:rsidRDefault="001764E9">
      <w:pPr>
        <w:widowControl w:val="0"/>
        <w:spacing w:line="204" w:lineRule="auto"/>
        <w:rPr>
          <w:b/>
          <w:sz w:val="24"/>
          <w:szCs w:val="24"/>
        </w:rPr>
      </w:pPr>
      <w:r>
        <w:rPr>
          <w:b/>
          <w:sz w:val="24"/>
          <w:szCs w:val="24"/>
        </w:rPr>
        <w:t>Narrative Information</w:t>
      </w:r>
    </w:p>
    <w:p w14:paraId="774C270F" w14:textId="77777777" w:rsidR="003B314F" w:rsidRDefault="001764E9">
      <w:pPr>
        <w:spacing w:beforeAutospacing="1" w:afterAutospacing="1"/>
        <w:rPr>
          <w:rFonts w:cs="Arial"/>
        </w:rPr>
      </w:pPr>
      <w:r>
        <w:rPr>
          <w:rFonts w:cs="Arial"/>
        </w:rPr>
        <w:t xml:space="preserve">During the 2024 Program Year, the City of Evansville made measurable progress toward its affordable housing goals, despite several implementation challenges and differences between goals and actual outcomes. The most notable shortfall occurred in the rehabilitation category. A planned project at Liberty Terrace (expected to serve 58 households) was delayed due to staffing turnover within the property’s management company.  Community Action Program of Evansville’s Owner-Occupied Rehab program, relaunched in </w:t>
      </w:r>
      <w:r>
        <w:rPr>
          <w:rFonts w:cs="Arial"/>
        </w:rPr>
        <w:t>2024 with newer staff, got off to a slower than expected start, and only assisted two of five projected households.  However, the program has gained momentum in recent months and is expected to assist more homeowners in the 2025 Program Year.</w:t>
      </w:r>
    </w:p>
    <w:p w14:paraId="3F8373B8" w14:textId="77777777" w:rsidR="003B314F" w:rsidRDefault="001764E9">
      <w:pPr>
        <w:spacing w:beforeAutospacing="1" w:afterAutospacing="1"/>
        <w:rPr>
          <w:rFonts w:cs="Arial"/>
        </w:rPr>
      </w:pPr>
      <w:r>
        <w:rPr>
          <w:rFonts w:cs="Arial"/>
        </w:rPr>
        <w:t xml:space="preserve">In terms of new unit production, the City supported the development of 83 new affordable housing units. Despite the discrepancy between this figure and the stated goal of 104 units, the outcome was </w:t>
      </w:r>
      <w:r>
        <w:rPr>
          <w:rFonts w:cs="Arial"/>
        </w:rPr>
        <w:lastRenderedPageBreak/>
        <w:t xml:space="preserve">consistent with expectations and reflects a strong production year for the City of Evansville. The Action Plan did not originally project any units under acquisition, but HOPE of Evansville assisted 16 first-time homebuyers with CDBG-funded down payment assistance. This activity, while impactful, </w:t>
      </w:r>
      <w:proofErr w:type="gramStart"/>
      <w:r>
        <w:rPr>
          <w:rFonts w:cs="Arial"/>
        </w:rPr>
        <w:t>as</w:t>
      </w:r>
      <w:proofErr w:type="gramEnd"/>
      <w:r>
        <w:rPr>
          <w:rFonts w:cs="Arial"/>
        </w:rPr>
        <w:t xml:space="preserve"> not accounted for in the original goals and will be more intentionally included in </w:t>
      </w:r>
      <w:proofErr w:type="gramStart"/>
      <w:r>
        <w:rPr>
          <w:rFonts w:cs="Arial"/>
        </w:rPr>
        <w:t>future plans</w:t>
      </w:r>
      <w:proofErr w:type="gramEnd"/>
      <w:r>
        <w:rPr>
          <w:rFonts w:cs="Arial"/>
        </w:rPr>
        <w:t>.</w:t>
      </w:r>
    </w:p>
    <w:p w14:paraId="30FB2AB1" w14:textId="77777777" w:rsidR="003B314F" w:rsidRDefault="001764E9">
      <w:pPr>
        <w:spacing w:beforeAutospacing="1" w:afterAutospacing="1"/>
        <w:rPr>
          <w:rFonts w:cs="Arial"/>
        </w:rPr>
      </w:pPr>
      <w:r>
        <w:rPr>
          <w:rFonts w:cs="Arial"/>
        </w:rPr>
        <w:t xml:space="preserve">Regarding household income data, the </w:t>
      </w:r>
      <w:proofErr w:type="gramStart"/>
      <w:r>
        <w:rPr>
          <w:rFonts w:cs="Arial"/>
        </w:rPr>
        <w:t>City</w:t>
      </w:r>
      <w:proofErr w:type="gramEnd"/>
      <w:r>
        <w:rPr>
          <w:rFonts w:cs="Arial"/>
        </w:rPr>
        <w:t xml:space="preserve"> </w:t>
      </w:r>
      <w:proofErr w:type="spellStart"/>
      <w:r>
        <w:rPr>
          <w:rFonts w:cs="Arial"/>
        </w:rPr>
        <w:t>cllects</w:t>
      </w:r>
      <w:proofErr w:type="spellEnd"/>
      <w:r>
        <w:rPr>
          <w:rFonts w:cs="Arial"/>
        </w:rPr>
        <w:t xml:space="preserve"> income breakdowns only for HOME-assisted units, as required. Because many projects, especially larger-scale construction projects, include both HOME and non-HOME assisted units, the actual number of income-eligible households in Table 13 appears smaller  than the actual figures reported in Tables 11 and 12. For example, ECHO Housing’s Promise Home, Gratus Development’s Jacobsville II, and House Investment’s Baker Flats each had only a small portion of  units funded with HOME and HOME-ARP. As a </w:t>
      </w:r>
      <w:r>
        <w:rPr>
          <w:rFonts w:cs="Arial"/>
        </w:rPr>
        <w:t xml:space="preserve">result, income information was only captured </w:t>
      </w:r>
      <w:proofErr w:type="spellStart"/>
      <w:r>
        <w:rPr>
          <w:rFonts w:cs="Arial"/>
        </w:rPr>
        <w:t>fo</w:t>
      </w:r>
      <w:proofErr w:type="spellEnd"/>
      <w:r>
        <w:rPr>
          <w:rFonts w:cs="Arial"/>
        </w:rPr>
        <w:t xml:space="preserve"> a subset of households, despite the broader reach of these developments highlighted earlier.</w:t>
      </w:r>
    </w:p>
    <w:p w14:paraId="2EA1A1C4" w14:textId="77777777" w:rsidR="003B314F" w:rsidRDefault="003B314F">
      <w:pPr>
        <w:rPr>
          <w:rFonts w:cs="Arial"/>
        </w:rPr>
      </w:pPr>
    </w:p>
    <w:p w14:paraId="09C7B166" w14:textId="77777777" w:rsidR="003B314F" w:rsidRDefault="003B314F">
      <w:pPr>
        <w:pStyle w:val="Heading2"/>
        <w:pageBreakBefore/>
        <w:rPr>
          <w:rFonts w:ascii="Calibri" w:hAnsi="Calibri"/>
          <w:i w:val="0"/>
        </w:rPr>
        <w:sectPr w:rsidR="003B314F">
          <w:pgSz w:w="12240" w:h="15840" w:code="1"/>
          <w:pgMar w:top="1440" w:right="1440" w:bottom="1440" w:left="1440" w:header="720" w:footer="720" w:gutter="0"/>
          <w:cols w:space="720"/>
          <w:docGrid w:linePitch="360"/>
        </w:sectPr>
      </w:pPr>
    </w:p>
    <w:bookmarkEnd w:id="1"/>
    <w:p w14:paraId="4CED5DB0" w14:textId="77777777" w:rsidR="003B314F" w:rsidRDefault="001764E9">
      <w:pPr>
        <w:pStyle w:val="Heading2"/>
        <w:pageBreakBefore/>
        <w:widowControl w:val="0"/>
        <w:rPr>
          <w:rFonts w:ascii="Calibri" w:hAnsi="Calibri"/>
          <w:i w:val="0"/>
        </w:rPr>
      </w:pPr>
      <w:r>
        <w:rPr>
          <w:rFonts w:ascii="Calibri" w:hAnsi="Calibri"/>
          <w:i w:val="0"/>
        </w:rPr>
        <w:lastRenderedPageBreak/>
        <w:t>CR-25 - Homeless and Other Special Needs 91.220(d, e); 91.320(d, e); 91.520(c)</w:t>
      </w:r>
    </w:p>
    <w:p w14:paraId="492FF54A" w14:textId="77777777" w:rsidR="003B314F" w:rsidRDefault="001764E9">
      <w:pPr>
        <w:keepNext/>
        <w:widowControl w:val="0"/>
        <w:rPr>
          <w:b/>
          <w:sz w:val="24"/>
          <w:szCs w:val="24"/>
        </w:rPr>
      </w:pPr>
      <w:r>
        <w:rPr>
          <w:b/>
          <w:sz w:val="24"/>
          <w:szCs w:val="24"/>
        </w:rPr>
        <w:t>Evaluate the jurisdiction’s progress in meeting its specific objectives for reducing and ending homelessness through:</w:t>
      </w:r>
    </w:p>
    <w:p w14:paraId="4FE1F53E" w14:textId="77777777" w:rsidR="003B314F" w:rsidRDefault="001764E9">
      <w:pPr>
        <w:widowControl w:val="0"/>
        <w:rPr>
          <w:b/>
          <w:sz w:val="24"/>
          <w:szCs w:val="24"/>
        </w:rPr>
      </w:pPr>
      <w:r>
        <w:rPr>
          <w:b/>
          <w:sz w:val="24"/>
          <w:szCs w:val="24"/>
        </w:rPr>
        <w:t xml:space="preserve">Reaching out to homeless </w:t>
      </w:r>
      <w:proofErr w:type="gramStart"/>
      <w:r>
        <w:rPr>
          <w:b/>
          <w:sz w:val="24"/>
          <w:szCs w:val="24"/>
        </w:rPr>
        <w:t>persons</w:t>
      </w:r>
      <w:proofErr w:type="gramEnd"/>
      <w:r>
        <w:rPr>
          <w:b/>
          <w:sz w:val="24"/>
          <w:szCs w:val="24"/>
        </w:rPr>
        <w:t xml:space="preserve"> (especially unsheltered </w:t>
      </w:r>
      <w:proofErr w:type="gramStart"/>
      <w:r>
        <w:rPr>
          <w:b/>
          <w:sz w:val="24"/>
          <w:szCs w:val="24"/>
        </w:rPr>
        <w:t>persons</w:t>
      </w:r>
      <w:proofErr w:type="gramEnd"/>
      <w:r>
        <w:rPr>
          <w:b/>
          <w:sz w:val="24"/>
          <w:szCs w:val="24"/>
        </w:rPr>
        <w:t>) and assessing their individual needs</w:t>
      </w:r>
    </w:p>
    <w:p w14:paraId="2A8A31CD" w14:textId="77777777" w:rsidR="003B314F" w:rsidRDefault="003B314F">
      <w:pPr>
        <w:widowControl w:val="0"/>
        <w:rPr>
          <w:rFonts w:cs="Arial"/>
        </w:rPr>
      </w:pPr>
    </w:p>
    <w:p w14:paraId="12A55CFE" w14:textId="77777777" w:rsidR="003B314F" w:rsidRDefault="001764E9">
      <w:pPr>
        <w:widowControl w:val="0"/>
        <w:rPr>
          <w:b/>
          <w:sz w:val="24"/>
          <w:szCs w:val="24"/>
        </w:rPr>
      </w:pPr>
      <w:r>
        <w:rPr>
          <w:b/>
          <w:sz w:val="24"/>
          <w:szCs w:val="24"/>
        </w:rPr>
        <w:t xml:space="preserve">Addressing the emergency shelter and transitional housing needs of homeless </w:t>
      </w:r>
      <w:proofErr w:type="gramStart"/>
      <w:r>
        <w:rPr>
          <w:b/>
          <w:sz w:val="24"/>
          <w:szCs w:val="24"/>
        </w:rPr>
        <w:t>persons</w:t>
      </w:r>
      <w:proofErr w:type="gramEnd"/>
    </w:p>
    <w:p w14:paraId="6CED35BE" w14:textId="77777777" w:rsidR="003B314F" w:rsidRDefault="003B314F">
      <w:pPr>
        <w:widowControl w:val="0"/>
        <w:rPr>
          <w:rFonts w:cs="Arial"/>
        </w:rPr>
      </w:pPr>
    </w:p>
    <w:p w14:paraId="6333A013" w14:textId="77777777" w:rsidR="003B314F" w:rsidRDefault="001764E9">
      <w:pPr>
        <w:widowControl w:val="0"/>
        <w:rPr>
          <w:b/>
          <w:sz w:val="24"/>
          <w:szCs w:val="24"/>
        </w:rPr>
      </w:pPr>
      <w:r>
        <w:rPr>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w:t>
      </w:r>
      <w:r>
        <w:rPr>
          <w:b/>
          <w:sz w:val="24"/>
          <w:szCs w:val="24"/>
        </w:rPr>
        <w:t>ducation, or youth needs</w:t>
      </w:r>
    </w:p>
    <w:p w14:paraId="4E90E207" w14:textId="77777777" w:rsidR="003B314F" w:rsidRDefault="003B314F">
      <w:pPr>
        <w:widowControl w:val="0"/>
        <w:rPr>
          <w:rFonts w:cs="Arial"/>
        </w:rPr>
      </w:pPr>
    </w:p>
    <w:p w14:paraId="273BFA51" w14:textId="77777777" w:rsidR="003B314F" w:rsidRDefault="001764E9">
      <w:pPr>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42FEABC0" w14:textId="77777777" w:rsidR="003B314F" w:rsidRDefault="001764E9">
      <w:pPr>
        <w:widowControl w:val="0"/>
        <w:spacing w:beforeAutospacing="1" w:afterAutospacing="1"/>
        <w:rPr>
          <w:rFonts w:cs="Arial"/>
        </w:rPr>
      </w:pPr>
      <w:r>
        <w:rPr>
          <w:rFonts w:cs="Arial"/>
        </w:rPr>
        <w:t xml:space="preserve">Last year, 535 individuals were identified as homeless in Evansville on a single </w:t>
      </w:r>
      <w:proofErr w:type="gramStart"/>
      <w:r>
        <w:rPr>
          <w:rFonts w:cs="Arial"/>
        </w:rPr>
        <w:t>night—</w:t>
      </w:r>
      <w:proofErr w:type="gramEnd"/>
      <w:r>
        <w:rPr>
          <w:rFonts w:cs="Arial"/>
        </w:rPr>
        <w:t xml:space="preserve">the highest ever recorded during our annual point-in-time count. Without intervention, that number could exceed 600 by 2030. In response, the Commission on Homeless created a new 5-year strategic plan that replaced our existing 10-year plan </w:t>
      </w:r>
      <w:proofErr w:type="gramStart"/>
      <w:r>
        <w:rPr>
          <w:rFonts w:cs="Arial"/>
        </w:rPr>
        <w:t>in an effort to</w:t>
      </w:r>
      <w:proofErr w:type="gramEnd"/>
      <w:r>
        <w:rPr>
          <w:rFonts w:cs="Arial"/>
        </w:rPr>
        <w:t xml:space="preserve"> change the trajectory of homelessness in Greater Evansville. It was designed with considerable input from community stakeholders, allowing us to create a shared community vision. It also encourages significant collaboration across multiple systems, </w:t>
      </w:r>
      <w:r>
        <w:rPr>
          <w:rFonts w:cs="Arial"/>
        </w:rPr>
        <w:t>which will promote local ownership and accountability.</w:t>
      </w:r>
    </w:p>
    <w:p w14:paraId="3F0FB2AD" w14:textId="77777777" w:rsidR="003B314F" w:rsidRDefault="001764E9">
      <w:pPr>
        <w:widowControl w:val="0"/>
        <w:spacing w:beforeAutospacing="1" w:afterAutospacing="1"/>
        <w:rPr>
          <w:rFonts w:cs="Arial"/>
        </w:rPr>
      </w:pPr>
      <w:r>
        <w:rPr>
          <w:rFonts w:cs="Arial"/>
        </w:rPr>
        <w:t xml:space="preserve">Our group of expert stakeholders was defined to </w:t>
      </w:r>
      <w:proofErr w:type="gramStart"/>
      <w:r>
        <w:rPr>
          <w:rFonts w:cs="Arial"/>
        </w:rPr>
        <w:t>include:</w:t>
      </w:r>
      <w:proofErr w:type="gramEnd"/>
      <w:r>
        <w:rPr>
          <w:rFonts w:cs="Arial"/>
        </w:rPr>
        <w:t xml:space="preserve"> Individuals with lived experience. Individuals </w:t>
      </w:r>
      <w:proofErr w:type="gramStart"/>
      <w:r>
        <w:rPr>
          <w:rFonts w:cs="Arial"/>
        </w:rPr>
        <w:t>working</w:t>
      </w:r>
      <w:proofErr w:type="gramEnd"/>
      <w:r>
        <w:rPr>
          <w:rFonts w:cs="Arial"/>
        </w:rPr>
        <w:t xml:space="preserve"> directly in the housing and/or homeless service space. Individuals working in collaboration with, or adjacent to, housing and homeless service providers. Individuals working in government/public </w:t>
      </w:r>
      <w:proofErr w:type="gramStart"/>
      <w:r>
        <w:rPr>
          <w:rFonts w:cs="Arial"/>
        </w:rPr>
        <w:t>sector who</w:t>
      </w:r>
      <w:proofErr w:type="gramEnd"/>
      <w:r>
        <w:rPr>
          <w:rFonts w:cs="Arial"/>
        </w:rPr>
        <w:t xml:space="preserve"> are concerned about the issue of homelessness. Individuals who are board members or volunteers for nonprofit organizations, and who are concerned about the issue of homelessness.</w:t>
      </w:r>
    </w:p>
    <w:p w14:paraId="58466D17" w14:textId="77777777" w:rsidR="003B314F" w:rsidRDefault="001764E9">
      <w:pPr>
        <w:widowControl w:val="0"/>
        <w:spacing w:beforeAutospacing="1" w:afterAutospacing="1"/>
        <w:rPr>
          <w:rFonts w:cs="Arial"/>
        </w:rPr>
      </w:pPr>
      <w:r>
        <w:rPr>
          <w:rFonts w:cs="Arial"/>
        </w:rPr>
        <w:lastRenderedPageBreak/>
        <w:t xml:space="preserve">There are five top objectives that was developed for ending homelessness: system effectiveness, prevention, unsheltered, mental health, and housing. </w:t>
      </w:r>
      <w:proofErr w:type="gramStart"/>
      <w:r>
        <w:rPr>
          <w:rFonts w:cs="Arial"/>
        </w:rPr>
        <w:t>All of</w:t>
      </w:r>
      <w:proofErr w:type="gramEnd"/>
      <w:r>
        <w:rPr>
          <w:rFonts w:cs="Arial"/>
        </w:rPr>
        <w:t xml:space="preserve"> these objectives include the necessity of working with partners outside our regular homeless system. In addition, ten systemwide performance measures were updated and adopted in PY 2024. Three of these measures are listed below as ESG-specific performance measures to be monitored yearly.</w:t>
      </w:r>
    </w:p>
    <w:p w14:paraId="20D3E7D2" w14:textId="77777777" w:rsidR="003B314F" w:rsidRDefault="001764E9">
      <w:pPr>
        <w:widowControl w:val="0"/>
        <w:spacing w:beforeAutospacing="1" w:afterAutospacing="1"/>
        <w:rPr>
          <w:rFonts w:cs="Arial"/>
        </w:rPr>
      </w:pPr>
      <w:r>
        <w:rPr>
          <w:rFonts w:cs="Arial"/>
          <w:b/>
        </w:rPr>
        <w:t>1. Increase exits to permanent housing.</w:t>
      </w:r>
      <w:r>
        <w:rPr>
          <w:rFonts w:cs="Arial"/>
        </w:rPr>
        <w:br/>
        <w:t xml:space="preserve"> Project Goal is to increase by 10% by 2030. Fiscal Year 2024 is the base year. The base year plus 10% equals the 2030 goal. 21% is the base percentage, so the 2030 goal is 31% to exit to permanent housing.</w:t>
      </w:r>
    </w:p>
    <w:p w14:paraId="7C711C4E" w14:textId="77777777" w:rsidR="003B314F" w:rsidRDefault="001764E9">
      <w:pPr>
        <w:widowControl w:val="0"/>
        <w:spacing w:beforeAutospacing="1" w:afterAutospacing="1"/>
        <w:rPr>
          <w:rFonts w:cs="Arial"/>
        </w:rPr>
      </w:pPr>
      <w:r>
        <w:rPr>
          <w:rFonts w:cs="Arial"/>
        </w:rPr>
        <w:br/>
        <w:t xml:space="preserve"> </w:t>
      </w:r>
      <w:r>
        <w:rPr>
          <w:rFonts w:cs="Arial"/>
          <w:b/>
        </w:rPr>
        <w:t>2. Decrease the number of people experiencing chronic homelessness.</w:t>
      </w:r>
      <w:r>
        <w:rPr>
          <w:rFonts w:cs="Arial"/>
        </w:rPr>
        <w:br/>
        <w:t xml:space="preserve"> Project goal is to decrease by 10% by 2030. Fiscal Year 2024 is the base year. The base year minus 10% equals the 2030 goal. (There is anticipated increase in those at risk of becoming chronic homeless overall, so the actual decrease will effectively be more than 10%.) The base number of chronic homeless people is 411, meaning it must decrease by 41 people to meet the goal; this equals 370 chronic homeless people or less by 2030.</w:t>
      </w:r>
    </w:p>
    <w:p w14:paraId="1A57E54F" w14:textId="77777777" w:rsidR="003B314F" w:rsidRDefault="001764E9">
      <w:pPr>
        <w:widowControl w:val="0"/>
        <w:spacing w:beforeAutospacing="1" w:afterAutospacing="1"/>
        <w:rPr>
          <w:rFonts w:cs="Arial"/>
        </w:rPr>
      </w:pPr>
      <w:r>
        <w:rPr>
          <w:rFonts w:cs="Arial"/>
        </w:rPr>
        <w:br/>
        <w:t xml:space="preserve"> </w:t>
      </w:r>
      <w:r>
        <w:rPr>
          <w:rFonts w:cs="Arial"/>
          <w:b/>
        </w:rPr>
        <w:t>3. Decrease the number of homeless households with children.</w:t>
      </w:r>
      <w:r>
        <w:rPr>
          <w:rFonts w:cs="Arial"/>
        </w:rPr>
        <w:br/>
        <w:t xml:space="preserve"> Project goal is to decrease by 10%. Fiscal year 2024 is the base year. The base year minus 10% equals the 2030 goal. 252 is base number of households with children, meaning it must decrease by 25 households to meet the goal; this equals 227 households by 2030.</w:t>
      </w:r>
    </w:p>
    <w:p w14:paraId="3904BCAD" w14:textId="77777777" w:rsidR="003B314F" w:rsidRDefault="003B314F">
      <w:pPr>
        <w:widowControl w:val="0"/>
        <w:rPr>
          <w:rFonts w:cs="Arial"/>
          <w:szCs w:val="26"/>
        </w:rPr>
      </w:pPr>
    </w:p>
    <w:p w14:paraId="05C6FC70" w14:textId="77777777" w:rsidR="003B314F" w:rsidRDefault="001764E9">
      <w:pPr>
        <w:pStyle w:val="Heading2"/>
        <w:pageBreakBefore/>
        <w:widowControl w:val="0"/>
        <w:rPr>
          <w:rFonts w:ascii="Calibri" w:hAnsi="Calibri"/>
          <w:i w:val="0"/>
        </w:rPr>
      </w:pPr>
      <w:r>
        <w:rPr>
          <w:rFonts w:ascii="Calibri" w:hAnsi="Calibri"/>
          <w:i w:val="0"/>
        </w:rPr>
        <w:lastRenderedPageBreak/>
        <w:t>CR-30 - Public Housing 91.220(h); 91.320(j)</w:t>
      </w:r>
    </w:p>
    <w:p w14:paraId="3DCF0205" w14:textId="77777777" w:rsidR="003B314F" w:rsidRDefault="001764E9">
      <w:pPr>
        <w:keepNext/>
        <w:widowControl w:val="0"/>
        <w:rPr>
          <w:b/>
          <w:sz w:val="24"/>
          <w:szCs w:val="24"/>
        </w:rPr>
      </w:pPr>
      <w:r>
        <w:rPr>
          <w:b/>
          <w:sz w:val="24"/>
          <w:szCs w:val="24"/>
        </w:rPr>
        <w:t>Actions taken to address the needs of public housing</w:t>
      </w:r>
    </w:p>
    <w:p w14:paraId="498D4F89" w14:textId="77777777" w:rsidR="003B314F" w:rsidRDefault="001764E9">
      <w:pPr>
        <w:keepNext/>
        <w:widowControl w:val="0"/>
        <w:spacing w:beforeAutospacing="1" w:afterAutospacing="1"/>
        <w:rPr>
          <w:rFonts w:cs="Arial"/>
        </w:rPr>
      </w:pPr>
      <w:r>
        <w:rPr>
          <w:rFonts w:cs="Arial"/>
        </w:rPr>
        <w:t>The Evansville Housing Authority (EHA) established Advantix Development Corporation in 2007, a 501 (C)(3) subsidiary with its own board of directors, to foster the rehabilitation and adaptive reuse of some housing units owned but unused. EHA was able to convert its entire portfolio of 888 units of public housing to the Rental Assistance Demonstration (RAD) program.</w:t>
      </w:r>
    </w:p>
    <w:p w14:paraId="4D310CD1" w14:textId="77777777" w:rsidR="003B314F" w:rsidRDefault="001764E9">
      <w:pPr>
        <w:keepNext/>
        <w:widowControl w:val="0"/>
        <w:spacing w:beforeAutospacing="1" w:afterAutospacing="1"/>
        <w:rPr>
          <w:rFonts w:cs="Arial"/>
        </w:rPr>
      </w:pPr>
      <w:r>
        <w:rPr>
          <w:rFonts w:cs="Arial"/>
        </w:rPr>
        <w:t xml:space="preserve">The Evansville Townhomes III project was completed in 2024, to rehabilitate 32 units of existing affordable housing and create 32 newly constructed single-family units on vacant, abandoned lots throughout the City of Evansville.  Evansville Townhomes III funding was estimated at just over $13 million for this affordable housing project.  EHA </w:t>
      </w:r>
      <w:proofErr w:type="gramStart"/>
      <w:r>
        <w:rPr>
          <w:rFonts w:cs="Arial"/>
        </w:rPr>
        <w:t>is able to</w:t>
      </w:r>
      <w:proofErr w:type="gramEnd"/>
      <w:r>
        <w:rPr>
          <w:rFonts w:cs="Arial"/>
        </w:rPr>
        <w:t xml:space="preserve"> utilize tax credits and project-based vouchers (PBVs) for these units as a more stable funding platform going forward.  In addition, discussions are currently underway with the Department of Metropolitan Development and the Mayor of the City of Evansville to submit a new tax credit application in 2025.</w:t>
      </w:r>
    </w:p>
    <w:p w14:paraId="6DC583CB" w14:textId="77777777" w:rsidR="003B314F" w:rsidRDefault="001764E9">
      <w:pPr>
        <w:keepNext/>
        <w:widowControl w:val="0"/>
        <w:spacing w:beforeAutospacing="1" w:afterAutospacing="1"/>
        <w:rPr>
          <w:rFonts w:cs="Arial"/>
        </w:rPr>
      </w:pPr>
      <w:r>
        <w:rPr>
          <w:rFonts w:cs="Arial"/>
        </w:rPr>
        <w:t>The Family Self-Sufficiency Program (FSS) administered through the Evansville Housing Authority (EHA) works with Habitat for Humanity and HOPE of Evansville as well as other service providers throughout the city. These partnerships and resulting activities, discussed further in the following section, are made available to over 2,300 households to encourage homeownership and self-sufficiency.  An annual Community Resource Fair is also conducted in August each year, bringing over 30 vendors throughout the com</w:t>
      </w:r>
      <w:r>
        <w:rPr>
          <w:rFonts w:cs="Arial"/>
        </w:rPr>
        <w:t>munity into one location for residents to access more easily with various questions and basic needs.</w:t>
      </w:r>
    </w:p>
    <w:p w14:paraId="4D5DE2BB" w14:textId="77777777" w:rsidR="003B314F" w:rsidRDefault="001764E9">
      <w:pPr>
        <w:keepNext/>
        <w:widowControl w:val="0"/>
        <w:spacing w:beforeAutospacing="1" w:afterAutospacing="1"/>
        <w:rPr>
          <w:rFonts w:cs="Arial"/>
        </w:rPr>
      </w:pPr>
      <w:r>
        <w:rPr>
          <w:rFonts w:cs="Arial"/>
        </w:rPr>
        <w:t>President/CEO Rick Moore continues to be fully engaged with the community, has over 40 years of leadership in low-income housing and management, and is committed to securing additional opportunities to improve and add to the availability of much-needed affordable housing in this area.</w:t>
      </w:r>
    </w:p>
    <w:p w14:paraId="25CFEDA3" w14:textId="77777777" w:rsidR="003B314F" w:rsidRDefault="001764E9">
      <w:pPr>
        <w:widowControl w:val="0"/>
        <w:rPr>
          <w:b/>
          <w:sz w:val="24"/>
          <w:szCs w:val="24"/>
        </w:rPr>
      </w:pPr>
      <w:r>
        <w:rPr>
          <w:b/>
          <w:sz w:val="24"/>
          <w:szCs w:val="24"/>
        </w:rPr>
        <w:t>Actions taken to encourage public housing residents to become more involved in management and participate in homeownership</w:t>
      </w:r>
    </w:p>
    <w:p w14:paraId="34DC478E" w14:textId="77777777" w:rsidR="003B314F" w:rsidRDefault="001764E9">
      <w:pPr>
        <w:widowControl w:val="0"/>
        <w:spacing w:beforeAutospacing="1" w:afterAutospacing="1"/>
        <w:rPr>
          <w:rFonts w:cs="Arial"/>
        </w:rPr>
      </w:pPr>
      <w:r>
        <w:rPr>
          <w:rFonts w:cs="Arial"/>
        </w:rPr>
        <w:t>The Family Self-Sufficiency Program (FSS) is administered through the Evansville Housing Authority (EHA) and works in collaboration with Habitat for Humanity and HOPE of Evansville to provide pre-purchase counseling and CDBG funds for down payment assistance to eligible participants to purchase homes. In addition, EHA encourages properties to establish Resident Council Organizations to provide activities for their respective residents, increase awareness of issues for residents, serve as a liaison between r</w:t>
      </w:r>
      <w:r>
        <w:rPr>
          <w:rFonts w:cs="Arial"/>
        </w:rPr>
        <w:t xml:space="preserve">esidents, management agents and owners, and motivate residents towards self-sufficiency.  A Resident Initiatives Coordinator position was created in </w:t>
      </w:r>
      <w:proofErr w:type="gramStart"/>
      <w:r>
        <w:rPr>
          <w:rFonts w:cs="Arial"/>
        </w:rPr>
        <w:t>2019</w:t>
      </w:r>
      <w:proofErr w:type="gramEnd"/>
      <w:r>
        <w:rPr>
          <w:rFonts w:cs="Arial"/>
        </w:rPr>
        <w:t xml:space="preserve"> and the role continues to be a valuable resource for the organization and the families served.  This person works to strengthen the councils, as well as plan, coordinate, and conduct ongoing activities for tenants to develop their skills in human relations and quality of life.  Services provided by the Resident Initiatives Coordinator were made </w:t>
      </w:r>
      <w:r>
        <w:rPr>
          <w:rFonts w:cs="Arial"/>
        </w:rPr>
        <w:lastRenderedPageBreak/>
        <w:t>available t</w:t>
      </w:r>
      <w:r>
        <w:rPr>
          <w:rFonts w:cs="Arial"/>
        </w:rPr>
        <w:t xml:space="preserve">o all </w:t>
      </w:r>
      <w:proofErr w:type="gramStart"/>
      <w:r>
        <w:rPr>
          <w:rFonts w:cs="Arial"/>
        </w:rPr>
        <w:t>persons</w:t>
      </w:r>
      <w:proofErr w:type="gramEnd"/>
      <w:r>
        <w:rPr>
          <w:rFonts w:cs="Arial"/>
        </w:rPr>
        <w:t xml:space="preserve"> assisted by the EHA.  Topics included Homeownership, Money Management, Budgeting, Medicaid Benefits, Building Your Savings, Coping with Anxiety and Cultivating Resilience, and Financial Psychology, among others.  Most recently, EHA’s YouthBuild program participants assisted with building a 3-bedroom home located at 818 Madison Avenue.  HOME funds from the City of Evansville were utilized to create this </w:t>
      </w:r>
      <w:proofErr w:type="spellStart"/>
      <w:r>
        <w:rPr>
          <w:rFonts w:cs="Arial"/>
        </w:rPr>
        <w:t>affordale</w:t>
      </w:r>
      <w:proofErr w:type="spellEnd"/>
      <w:r>
        <w:rPr>
          <w:rFonts w:cs="Arial"/>
        </w:rPr>
        <w:t xml:space="preserve"> housing unit for a qualified family to purchase through the Homebuyer Program.  CD</w:t>
      </w:r>
      <w:r>
        <w:rPr>
          <w:rFonts w:cs="Arial"/>
        </w:rPr>
        <w:t>BG funds were also provided to EHA’s YouthBuild program to assist with administration of the YouthBuild program.</w:t>
      </w:r>
    </w:p>
    <w:p w14:paraId="01B1D50D" w14:textId="77777777" w:rsidR="003B314F" w:rsidRDefault="001764E9">
      <w:pPr>
        <w:widowControl w:val="0"/>
        <w:rPr>
          <w:b/>
          <w:sz w:val="24"/>
          <w:szCs w:val="24"/>
        </w:rPr>
      </w:pPr>
      <w:r>
        <w:rPr>
          <w:b/>
          <w:sz w:val="24"/>
          <w:szCs w:val="24"/>
        </w:rPr>
        <w:t xml:space="preserve">Actions taken to </w:t>
      </w:r>
      <w:proofErr w:type="gramStart"/>
      <w:r>
        <w:rPr>
          <w:b/>
          <w:sz w:val="24"/>
          <w:szCs w:val="24"/>
        </w:rPr>
        <w:t>provide assistance to</w:t>
      </w:r>
      <w:proofErr w:type="gramEnd"/>
      <w:r>
        <w:rPr>
          <w:b/>
          <w:sz w:val="24"/>
          <w:szCs w:val="24"/>
        </w:rPr>
        <w:t xml:space="preserve"> troubled PHAs</w:t>
      </w:r>
    </w:p>
    <w:p w14:paraId="1E470B9F" w14:textId="77777777" w:rsidR="003B314F" w:rsidRDefault="001764E9">
      <w:pPr>
        <w:widowControl w:val="0"/>
        <w:spacing w:beforeAutospacing="1" w:afterAutospacing="1"/>
        <w:rPr>
          <w:rFonts w:cs="Arial"/>
        </w:rPr>
      </w:pPr>
      <w:r>
        <w:rPr>
          <w:rFonts w:cs="Arial"/>
        </w:rPr>
        <w:t>The Evansville Housing Authority is not designated as troubled, so no action was required.</w:t>
      </w:r>
    </w:p>
    <w:p w14:paraId="26959993" w14:textId="77777777" w:rsidR="003B314F" w:rsidRDefault="001764E9">
      <w:pPr>
        <w:pStyle w:val="Heading2"/>
        <w:pageBreakBefore/>
        <w:widowControl w:val="0"/>
        <w:rPr>
          <w:rFonts w:ascii="Calibri" w:hAnsi="Calibri"/>
          <w:i w:val="0"/>
        </w:rPr>
      </w:pPr>
      <w:r>
        <w:rPr>
          <w:rFonts w:ascii="Calibri" w:hAnsi="Calibri"/>
          <w:i w:val="0"/>
        </w:rPr>
        <w:lastRenderedPageBreak/>
        <w:t>CR-35 - Other Actions 91.220(j)-(k); 91.320(</w:t>
      </w:r>
      <w:proofErr w:type="spellStart"/>
      <w:r>
        <w:rPr>
          <w:rFonts w:ascii="Calibri" w:hAnsi="Calibri"/>
          <w:i w:val="0"/>
        </w:rPr>
        <w:t>i</w:t>
      </w:r>
      <w:proofErr w:type="spellEnd"/>
      <w:r>
        <w:rPr>
          <w:rFonts w:ascii="Calibri" w:hAnsi="Calibri"/>
          <w:i w:val="0"/>
        </w:rPr>
        <w:t>)-(j)</w:t>
      </w:r>
    </w:p>
    <w:p w14:paraId="54315978" w14:textId="77777777" w:rsidR="003B314F" w:rsidRDefault="001764E9">
      <w:pPr>
        <w:widowControl w:val="0"/>
        <w:rPr>
          <w:b/>
          <w:sz w:val="24"/>
          <w:szCs w:val="24"/>
        </w:rPr>
      </w:pPr>
      <w:r>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w:t>
      </w:r>
      <w:proofErr w:type="spellStart"/>
      <w:r>
        <w:rPr>
          <w:b/>
          <w:sz w:val="24"/>
          <w:szCs w:val="24"/>
        </w:rPr>
        <w:t>i</w:t>
      </w:r>
      <w:proofErr w:type="spellEnd"/>
      <w:r>
        <w:rPr>
          <w:b/>
          <w:sz w:val="24"/>
          <w:szCs w:val="24"/>
        </w:rPr>
        <w:t>)</w:t>
      </w:r>
    </w:p>
    <w:p w14:paraId="04422BDC" w14:textId="77777777" w:rsidR="003B314F" w:rsidRDefault="001764E9">
      <w:pPr>
        <w:widowControl w:val="0"/>
        <w:spacing w:beforeAutospacing="1" w:afterAutospacing="1"/>
        <w:rPr>
          <w:rFonts w:cs="Arial"/>
        </w:rPr>
      </w:pPr>
      <w:r>
        <w:rPr>
          <w:rFonts w:cs="Arial"/>
        </w:rPr>
        <w:t>APC’s Ronald London contacted for response.</w:t>
      </w:r>
    </w:p>
    <w:p w14:paraId="79995389" w14:textId="77777777" w:rsidR="003B314F" w:rsidRDefault="001764E9">
      <w:pPr>
        <w:widowControl w:val="0"/>
        <w:rPr>
          <w:b/>
          <w:sz w:val="24"/>
          <w:szCs w:val="24"/>
        </w:rPr>
      </w:pPr>
      <w:r>
        <w:rPr>
          <w:b/>
          <w:sz w:val="24"/>
          <w:szCs w:val="24"/>
        </w:rPr>
        <w:t>Actions taken to address obstacles to meeting underserved needs.  91.220(k); 91.320(j)</w:t>
      </w:r>
    </w:p>
    <w:p w14:paraId="0A26ACF4" w14:textId="77777777" w:rsidR="003B314F" w:rsidRDefault="001764E9">
      <w:pPr>
        <w:widowControl w:val="0"/>
        <w:spacing w:beforeAutospacing="1" w:afterAutospacing="1"/>
        <w:rPr>
          <w:rFonts w:cs="Arial"/>
        </w:rPr>
      </w:pPr>
      <w:r>
        <w:rPr>
          <w:rFonts w:cs="Arial"/>
        </w:rPr>
        <w:t>A large portion of services provided to those with underserved needs are funded with federal funds. Advocacy and awareness campaigns were established to help ensure that those with underserved needs are prioritized and communities supports are strengthened.</w:t>
      </w:r>
    </w:p>
    <w:p w14:paraId="08C5BBA0" w14:textId="77777777" w:rsidR="003B314F" w:rsidRDefault="001764E9">
      <w:pPr>
        <w:widowControl w:val="0"/>
        <w:spacing w:beforeAutospacing="1" w:afterAutospacing="1"/>
        <w:rPr>
          <w:rFonts w:cs="Arial"/>
        </w:rPr>
      </w:pPr>
      <w:r>
        <w:rPr>
          <w:rFonts w:cs="Arial"/>
        </w:rPr>
        <w:t>Outreach for the strategic plan update was specifically targeted to include those who are underserved. Electronic surveys were utilized as a primary method of collecting stakeholder feedback. This method was selected to maximize return rate and to more effectively reach hidden groups, such as frontline employees and those with lived experience. Throughout the process 179 stakeholder surveys were collected. Survey respondents included agency staff employed by homeless service organizations (59.78%), individu</w:t>
      </w:r>
      <w:r>
        <w:rPr>
          <w:rFonts w:cs="Arial"/>
        </w:rPr>
        <w:t>als who identified as a member of a historically underserved or underrepresented group (22.91%), and individuals with lived experience (22.35%).</w:t>
      </w:r>
    </w:p>
    <w:p w14:paraId="24BB9855" w14:textId="77777777" w:rsidR="003B314F" w:rsidRDefault="001764E9">
      <w:pPr>
        <w:widowControl w:val="0"/>
        <w:rPr>
          <w:b/>
          <w:sz w:val="24"/>
          <w:szCs w:val="24"/>
        </w:rPr>
      </w:pPr>
      <w:r>
        <w:rPr>
          <w:b/>
          <w:sz w:val="24"/>
          <w:szCs w:val="24"/>
        </w:rPr>
        <w:t>Actions taken to reduce lead-based paint hazards. 91.220(k); 91.320(j)</w:t>
      </w:r>
    </w:p>
    <w:p w14:paraId="4BCFB8FD" w14:textId="77777777" w:rsidR="003B314F" w:rsidRDefault="003B314F">
      <w:pPr>
        <w:widowControl w:val="0"/>
        <w:rPr>
          <w:rFonts w:cs="Arial"/>
        </w:rPr>
      </w:pPr>
    </w:p>
    <w:p w14:paraId="7AF8A004" w14:textId="77777777" w:rsidR="003B314F" w:rsidRDefault="001764E9">
      <w:pPr>
        <w:widowControl w:val="0"/>
        <w:rPr>
          <w:b/>
          <w:sz w:val="24"/>
          <w:szCs w:val="24"/>
        </w:rPr>
      </w:pPr>
      <w:r>
        <w:rPr>
          <w:b/>
          <w:sz w:val="24"/>
          <w:szCs w:val="24"/>
        </w:rPr>
        <w:t>Actions taken to reduce the number of poverty-level families. 91.220(k); 91.320(j)</w:t>
      </w:r>
    </w:p>
    <w:p w14:paraId="2F1FBF0D" w14:textId="77777777" w:rsidR="003B314F" w:rsidRDefault="001764E9">
      <w:pPr>
        <w:widowControl w:val="0"/>
        <w:spacing w:beforeAutospacing="1" w:afterAutospacing="1"/>
        <w:rPr>
          <w:rFonts w:cs="Arial"/>
        </w:rPr>
      </w:pPr>
      <w:r>
        <w:rPr>
          <w:rFonts w:cs="Arial"/>
        </w:rPr>
        <w:t xml:space="preserve">A special local anti-poverty initiative created by Evansville Christian Life Center </w:t>
      </w:r>
      <w:proofErr w:type="gramStart"/>
      <w:r>
        <w:rPr>
          <w:rFonts w:cs="Arial"/>
        </w:rPr>
        <w:t>and also</w:t>
      </w:r>
      <w:proofErr w:type="gramEnd"/>
      <w:r>
        <w:rPr>
          <w:rFonts w:cs="Arial"/>
        </w:rPr>
        <w:t xml:space="preserve"> now include Evansville district of St. Vincent DePaul is called GAIN. GAIN Initiative: Growing Assets and Impact through Networks.</w:t>
      </w:r>
    </w:p>
    <w:p w14:paraId="6FF12A77" w14:textId="77777777" w:rsidR="003B314F" w:rsidRDefault="001764E9">
      <w:pPr>
        <w:widowControl w:val="0"/>
        <w:spacing w:beforeAutospacing="1" w:afterAutospacing="1"/>
        <w:rPr>
          <w:rFonts w:cs="Arial"/>
        </w:rPr>
      </w:pPr>
      <w:r>
        <w:rPr>
          <w:rFonts w:cs="Arial"/>
        </w:rPr>
        <w:t xml:space="preserve">The GAIN Initiative (formerly Circles®/Anti-Poverty) is a community-based program helping individuals and families overcome barriers through meaningful relationships and practical support. Whether facing financial, emotional, or relational challenges, participants </w:t>
      </w:r>
      <w:proofErr w:type="gramStart"/>
      <w:r>
        <w:rPr>
          <w:rFonts w:cs="Arial"/>
        </w:rPr>
        <w:t>are connected with</w:t>
      </w:r>
      <w:proofErr w:type="gramEnd"/>
      <w:r>
        <w:rPr>
          <w:rFonts w:cs="Arial"/>
        </w:rPr>
        <w:t xml:space="preserve"> caring partners and resources that help them move forward—while partners gain deeper understanding, lasting friendships, and the opportunity to strengthen our community from the inside out.</w:t>
      </w:r>
    </w:p>
    <w:p w14:paraId="11F701C8" w14:textId="77777777" w:rsidR="003B314F" w:rsidRDefault="001764E9">
      <w:pPr>
        <w:widowControl w:val="0"/>
        <w:rPr>
          <w:b/>
          <w:sz w:val="24"/>
          <w:szCs w:val="24"/>
        </w:rPr>
      </w:pPr>
      <w:r>
        <w:rPr>
          <w:b/>
          <w:sz w:val="24"/>
          <w:szCs w:val="24"/>
        </w:rPr>
        <w:t>Actions taken to develop institutional structure. 91.220(k); 91.320(j)</w:t>
      </w:r>
    </w:p>
    <w:p w14:paraId="4C0C1485" w14:textId="77777777" w:rsidR="003B314F" w:rsidRDefault="001764E9">
      <w:pPr>
        <w:widowControl w:val="0"/>
        <w:spacing w:beforeAutospacing="1" w:afterAutospacing="1"/>
        <w:rPr>
          <w:rFonts w:cs="Arial"/>
        </w:rPr>
      </w:pPr>
      <w:r>
        <w:rPr>
          <w:rFonts w:cs="Arial"/>
        </w:rPr>
        <w:t xml:space="preserve">The City of Evansville, through its department of Metropolitan Development, works with the Evansville Common Council to allocate annual ESG, CDBG, and HOME funding to meet the community service and </w:t>
      </w:r>
      <w:r>
        <w:rPr>
          <w:rFonts w:cs="Arial"/>
        </w:rPr>
        <w:lastRenderedPageBreak/>
        <w:t xml:space="preserve">housing needs. Partnerships are formed with local banks, including CDFIs, and other local organizations or </w:t>
      </w:r>
      <w:proofErr w:type="spellStart"/>
      <w:r>
        <w:rPr>
          <w:rFonts w:cs="Arial"/>
        </w:rPr>
        <w:t>commiteees</w:t>
      </w:r>
      <w:proofErr w:type="spellEnd"/>
      <w:r>
        <w:rPr>
          <w:rFonts w:cs="Arial"/>
        </w:rPr>
        <w:t xml:space="preserve"> that provide additional community development leverage, such as the Affordable Housing Trust Fund and the Land Bank.</w:t>
      </w:r>
    </w:p>
    <w:p w14:paraId="067C1B5F" w14:textId="77777777" w:rsidR="003B314F" w:rsidRDefault="001764E9">
      <w:pPr>
        <w:widowControl w:val="0"/>
        <w:spacing w:beforeAutospacing="1" w:afterAutospacing="1"/>
        <w:rPr>
          <w:rFonts w:cs="Arial"/>
        </w:rPr>
      </w:pPr>
      <w:r>
        <w:rPr>
          <w:rFonts w:cs="Arial"/>
        </w:rPr>
        <w:t xml:space="preserve">A key component to assure that HUD-funded public service activities represent the needs of the community is the appointment of the Citizens Advisory Committee (CAC). Appointed by the Mayor, the CAC is the first step of a three-tier process for the allocation of public service funds. The makeup of the five (5) minimum CAC members recommending allocations for PY 2024 were reflective of a variety of experiences, including those who are veterans, educators, representatives of </w:t>
      </w:r>
      <w:proofErr w:type="gramStart"/>
      <w:r>
        <w:rPr>
          <w:rFonts w:cs="Arial"/>
        </w:rPr>
        <w:t>neighborhoods</w:t>
      </w:r>
      <w:proofErr w:type="gramEnd"/>
      <w:r>
        <w:rPr>
          <w:rFonts w:cs="Arial"/>
        </w:rPr>
        <w:t xml:space="preserve"> and local utility companies, and who have served in law enforcement. Recommendations discussed within CAC meetings, which are recorded public meetings, are provided to the </w:t>
      </w:r>
      <w:proofErr w:type="gramStart"/>
      <w:r>
        <w:rPr>
          <w:rFonts w:cs="Arial"/>
        </w:rPr>
        <w:t>Mayor</w:t>
      </w:r>
      <w:proofErr w:type="gramEnd"/>
      <w:r>
        <w:rPr>
          <w:rFonts w:cs="Arial"/>
        </w:rPr>
        <w:t xml:space="preserve"> for further consideration. In the final step of the process, allocations are made by the Evansville City Council in a public session.</w:t>
      </w:r>
    </w:p>
    <w:p w14:paraId="6232B1F3" w14:textId="77777777" w:rsidR="003B314F" w:rsidRDefault="001764E9">
      <w:pPr>
        <w:widowControl w:val="0"/>
        <w:spacing w:beforeAutospacing="1" w:afterAutospacing="1"/>
        <w:rPr>
          <w:rFonts w:cs="Arial"/>
        </w:rPr>
      </w:pPr>
      <w:r>
        <w:rPr>
          <w:rFonts w:cs="Arial"/>
        </w:rPr>
        <w:t xml:space="preserve">In 2024, DMD continued to work to expand the capacity of current organizations as well as </w:t>
      </w:r>
      <w:proofErr w:type="gramStart"/>
      <w:r>
        <w:rPr>
          <w:rFonts w:cs="Arial"/>
        </w:rPr>
        <w:t>extend</w:t>
      </w:r>
      <w:proofErr w:type="gramEnd"/>
      <w:r>
        <w:rPr>
          <w:rFonts w:cs="Arial"/>
        </w:rPr>
        <w:t xml:space="preserve"> funding opportunities to agencies that will satisfy the community development and housing needs identified in the 2020-2024 Consolidated Plan. Neighborhood groups, developers, lenders, and non-profits provided continued support on City initiatives.</w:t>
      </w:r>
    </w:p>
    <w:p w14:paraId="4DE19816" w14:textId="77777777" w:rsidR="003B314F" w:rsidRDefault="001764E9">
      <w:pPr>
        <w:widowControl w:val="0"/>
        <w:rPr>
          <w:b/>
          <w:sz w:val="24"/>
          <w:szCs w:val="24"/>
        </w:rPr>
      </w:pPr>
      <w:r>
        <w:rPr>
          <w:b/>
          <w:sz w:val="24"/>
          <w:szCs w:val="24"/>
        </w:rPr>
        <w:t>Actions taken to enhance coordination between public and private housing and social service agencies. 91.220(k); 91.320(j)</w:t>
      </w:r>
    </w:p>
    <w:p w14:paraId="6294518B" w14:textId="77777777" w:rsidR="003B314F" w:rsidRDefault="001764E9">
      <w:pPr>
        <w:widowControl w:val="0"/>
        <w:spacing w:beforeAutospacing="1" w:afterAutospacing="1"/>
        <w:rPr>
          <w:rFonts w:cs="Arial"/>
        </w:rPr>
      </w:pPr>
      <w:r>
        <w:rPr>
          <w:rFonts w:cs="Arial"/>
        </w:rPr>
        <w:t xml:space="preserve">Destination: Home includes forming new partnerships between landlords, public housing authorities, neighborhoods, businesses, and local social service agencies. The E3 initiative is specialized partnership for jail diversion and homeless diversion that includes the </w:t>
      </w:r>
      <w:proofErr w:type="spellStart"/>
      <w:r>
        <w:rPr>
          <w:rFonts w:cs="Arial"/>
        </w:rPr>
        <w:t>Evansvile</w:t>
      </w:r>
      <w:proofErr w:type="spellEnd"/>
      <w:r>
        <w:rPr>
          <w:rFonts w:cs="Arial"/>
        </w:rPr>
        <w:t xml:space="preserve"> Police Department, ECHO, Southwestern Behavioral, and Aurora as the primary agencies.</w:t>
      </w:r>
    </w:p>
    <w:p w14:paraId="6F091B42" w14:textId="77777777" w:rsidR="003B314F" w:rsidRDefault="001764E9">
      <w:pPr>
        <w:widowControl w:val="0"/>
        <w:rPr>
          <w:b/>
          <w:sz w:val="24"/>
          <w:szCs w:val="24"/>
        </w:rPr>
      </w:pPr>
      <w:r>
        <w:rPr>
          <w:b/>
          <w:sz w:val="24"/>
          <w:szCs w:val="24"/>
        </w:rPr>
        <w:t>Identify actions taken to overcome the effects of any impediments identified in the jurisdictions analysis of impediments to fair housing choice.  91.520(a)</w:t>
      </w:r>
    </w:p>
    <w:p w14:paraId="4B67A40B" w14:textId="77777777" w:rsidR="003B314F" w:rsidRDefault="001764E9">
      <w:pPr>
        <w:widowControl w:val="0"/>
        <w:spacing w:beforeAutospacing="1" w:afterAutospacing="1"/>
        <w:rPr>
          <w:rFonts w:cs="Arial"/>
        </w:rPr>
      </w:pPr>
      <w:r>
        <w:rPr>
          <w:rFonts w:cs="Arial"/>
        </w:rPr>
        <w:t xml:space="preserve">In PY 2024, the City of Evansville continued implementation of strategies identified in the Analysis of Impediments to Fair Housing Choice, with efforts aimed at reducing systemic barriers, expanding housing access, and fostering equitable outcomes for protected classes and underserved populations. The </w:t>
      </w:r>
      <w:proofErr w:type="gramStart"/>
      <w:r>
        <w:rPr>
          <w:rFonts w:cs="Arial"/>
        </w:rPr>
        <w:t>City</w:t>
      </w:r>
      <w:proofErr w:type="gramEnd"/>
      <w:r>
        <w:rPr>
          <w:rFonts w:cs="Arial"/>
        </w:rPr>
        <w:t xml:space="preserve"> focused on both programmatic improvements and cross-sector partnerships to address long-standing disparities in housing opportunity.</w:t>
      </w:r>
    </w:p>
    <w:p w14:paraId="620D1794" w14:textId="77777777" w:rsidR="003B314F" w:rsidRDefault="001764E9">
      <w:pPr>
        <w:widowControl w:val="0"/>
        <w:spacing w:beforeAutospacing="1" w:afterAutospacing="1"/>
        <w:rPr>
          <w:rFonts w:cs="Arial"/>
        </w:rPr>
      </w:pPr>
      <w:r>
        <w:rPr>
          <w:rFonts w:cs="Arial"/>
        </w:rPr>
        <w:t xml:space="preserve">In FY 2024, the Affordable Housing Trust Fund (AHTF) was bolstered with a $500,000 </w:t>
      </w:r>
      <w:proofErr w:type="spellStart"/>
      <w:r>
        <w:rPr>
          <w:rFonts w:cs="Arial"/>
        </w:rPr>
        <w:t>alloction</w:t>
      </w:r>
      <w:proofErr w:type="spellEnd"/>
      <w:r>
        <w:rPr>
          <w:rFonts w:cs="Arial"/>
        </w:rPr>
        <w:t xml:space="preserve"> from Riverboat Casino taxes and a $250,000 supplemental pledge from ARPA interest. In FY 2025, that supplemental ARPA interest allocation was bumped up to $500,000, effectively providing the AHTF with $1,000,000 for the 2025 fiscal year. This investment fueled a significant uptick in home repair applications and completions, boosting annual assistance from an average of 2-3 low-income households per year to 15 in PY 2024. These repairs directly benefit low-income homeowners, especially in aging an</w:t>
      </w:r>
      <w:r>
        <w:rPr>
          <w:rFonts w:cs="Arial"/>
        </w:rPr>
        <w:t xml:space="preserve">d blighted neighborhoods, helping preserve affordable housing stock and reduce </w:t>
      </w:r>
      <w:r>
        <w:rPr>
          <w:rFonts w:cs="Arial"/>
        </w:rPr>
        <w:lastRenderedPageBreak/>
        <w:t>displacement.</w:t>
      </w:r>
    </w:p>
    <w:p w14:paraId="2B4E83F3" w14:textId="77777777" w:rsidR="003B314F" w:rsidRDefault="001764E9">
      <w:pPr>
        <w:widowControl w:val="0"/>
        <w:spacing w:beforeAutospacing="1" w:afterAutospacing="1"/>
        <w:rPr>
          <w:rFonts w:cs="Arial"/>
        </w:rPr>
      </w:pPr>
      <w:r>
        <w:rPr>
          <w:rFonts w:cs="Arial"/>
        </w:rPr>
        <w:t>Another step was the creation of a Community Development Housing Administrator position within the City of Evansville’s Department of Metropolitan Development. This new role, dedicated to overseeing housing initiatives and programs, enabled more focused attention on HOME-funded projects and monitoring of the AHTF developer and home repair activities, as well as several housing-related CDBG programs and planning grants. The creation of this role also enhances internal capacity to coordinate with partners and</w:t>
      </w:r>
      <w:r>
        <w:rPr>
          <w:rFonts w:cs="Arial"/>
        </w:rPr>
        <w:t xml:space="preserve"> monitor fair housing compliance across city-supported housing activities.</w:t>
      </w:r>
    </w:p>
    <w:p w14:paraId="7E28CC6D" w14:textId="77777777" w:rsidR="003B314F" w:rsidRDefault="001764E9">
      <w:pPr>
        <w:widowControl w:val="0"/>
        <w:spacing w:beforeAutospacing="1" w:afterAutospacing="1"/>
        <w:rPr>
          <w:rFonts w:cs="Arial"/>
        </w:rPr>
      </w:pPr>
      <w:r>
        <w:rPr>
          <w:rFonts w:cs="Arial"/>
        </w:rPr>
        <w:t xml:space="preserve">Evansville also advanced fair housing education and outreach. The Department of Metropolitan Development worked in coordination with the Evansville-Vanderburgh Human Relations Commission to </w:t>
      </w:r>
      <w:proofErr w:type="spellStart"/>
      <w:r>
        <w:rPr>
          <w:rFonts w:cs="Arial"/>
        </w:rPr>
        <w:t>promite</w:t>
      </w:r>
      <w:proofErr w:type="spellEnd"/>
      <w:r>
        <w:rPr>
          <w:rFonts w:cs="Arial"/>
        </w:rPr>
        <w:t xml:space="preserve"> community awareness about housing discrimination and how to file complaints. The </w:t>
      </w:r>
      <w:proofErr w:type="gramStart"/>
      <w:r>
        <w:rPr>
          <w:rFonts w:cs="Arial"/>
        </w:rPr>
        <w:t>City</w:t>
      </w:r>
      <w:proofErr w:type="gramEnd"/>
      <w:r>
        <w:rPr>
          <w:rFonts w:cs="Arial"/>
        </w:rPr>
        <w:t xml:space="preserve"> supported the annual Fair Housing Summit, featuring expert speakers and interactive discussions on barriers to equity in housing. These events provide key learning opportunities for housing developers, service providers, and community members.</w:t>
      </w:r>
    </w:p>
    <w:p w14:paraId="7E3778EA" w14:textId="77777777" w:rsidR="003B314F" w:rsidRDefault="001764E9">
      <w:pPr>
        <w:widowControl w:val="0"/>
        <w:spacing w:beforeAutospacing="1" w:afterAutospacing="1"/>
        <w:rPr>
          <w:rFonts w:cs="Arial"/>
        </w:rPr>
      </w:pPr>
      <w:r>
        <w:rPr>
          <w:rFonts w:cs="Arial"/>
        </w:rPr>
        <w:t xml:space="preserve">The </w:t>
      </w:r>
      <w:proofErr w:type="gramStart"/>
      <w:r>
        <w:rPr>
          <w:rFonts w:cs="Arial"/>
        </w:rPr>
        <w:t>City</w:t>
      </w:r>
      <w:proofErr w:type="gramEnd"/>
      <w:r>
        <w:rPr>
          <w:rFonts w:cs="Arial"/>
        </w:rPr>
        <w:t xml:space="preserve"> continued participation in regular meetings of HOUSE (Housing Organizations United Serving Evansville) and coordinated closely with local developers, CHDOs, and Community Development Corporations to reinforce shared goals around affordability, accessibility, and fair housing. Member organizations such as Community Action Program of Evansville (CAPE), Habitat for Humanity, and ECHO Housing also carried out direct efforts to overcome barriers identified in the AI, including expanding homeownership opport</w:t>
      </w:r>
      <w:r>
        <w:rPr>
          <w:rFonts w:cs="Arial"/>
        </w:rPr>
        <w:t>unities, implementing housing counseling and financial literacy programs, and constructing or rehabilitating affordable homes in historically underinvested neighborhoods.</w:t>
      </w:r>
    </w:p>
    <w:p w14:paraId="3126AB02" w14:textId="77777777" w:rsidR="003B314F" w:rsidRDefault="001764E9">
      <w:pPr>
        <w:widowControl w:val="0"/>
        <w:spacing w:beforeAutospacing="1" w:afterAutospacing="1"/>
        <w:rPr>
          <w:rFonts w:cs="Arial"/>
        </w:rPr>
      </w:pPr>
      <w:r>
        <w:rPr>
          <w:rFonts w:cs="Arial"/>
        </w:rPr>
        <w:t xml:space="preserve">The City continues to monitor </w:t>
      </w:r>
      <w:proofErr w:type="gramStart"/>
      <w:r>
        <w:rPr>
          <w:rFonts w:cs="Arial"/>
        </w:rPr>
        <w:t>zoning</w:t>
      </w:r>
      <w:proofErr w:type="gramEnd"/>
      <w:r>
        <w:rPr>
          <w:rFonts w:cs="Arial"/>
        </w:rPr>
        <w:t>, permitting, and land use regulations to ensure they do not unintentionally restrict housing access or unaffordability. When public feedback or internal review identifies concerns, the City remains open to amending such policies to reduce inequities.</w:t>
      </w:r>
    </w:p>
    <w:p w14:paraId="337B4B43" w14:textId="77777777" w:rsidR="003B314F" w:rsidRDefault="001764E9">
      <w:pPr>
        <w:widowControl w:val="0"/>
        <w:spacing w:beforeAutospacing="1" w:afterAutospacing="1"/>
        <w:rPr>
          <w:rFonts w:cs="Arial"/>
        </w:rPr>
      </w:pPr>
      <w:r>
        <w:rPr>
          <w:rFonts w:cs="Arial"/>
        </w:rPr>
        <w:t xml:space="preserve">As utility costs are increasingly recognized as a barrier to affordable housing, the </w:t>
      </w:r>
      <w:proofErr w:type="gramStart"/>
      <w:r>
        <w:rPr>
          <w:rFonts w:cs="Arial"/>
        </w:rPr>
        <w:t>City</w:t>
      </w:r>
      <w:proofErr w:type="gramEnd"/>
      <w:r>
        <w:rPr>
          <w:rFonts w:cs="Arial"/>
        </w:rPr>
        <w:t xml:space="preserve"> has taken steps to address rising energy burdens. Since the drafting of the Action Plan, CenterPoint Energy implemented significant rate hikes that have made Evansville’s electric costs among the highest in the nation. The </w:t>
      </w:r>
      <w:proofErr w:type="gramStart"/>
      <w:r>
        <w:rPr>
          <w:rFonts w:cs="Arial"/>
        </w:rPr>
        <w:t>City</w:t>
      </w:r>
      <w:proofErr w:type="gramEnd"/>
      <w:r>
        <w:rPr>
          <w:rFonts w:cs="Arial"/>
        </w:rPr>
        <w:t xml:space="preserve"> continues to support advocacy efforts and has prioritized energy-efficient rehab in CDBG</w:t>
      </w:r>
      <w:proofErr w:type="gramStart"/>
      <w:r>
        <w:rPr>
          <w:rFonts w:cs="Arial"/>
        </w:rPr>
        <w:t>- ,</w:t>
      </w:r>
      <w:proofErr w:type="gramEnd"/>
      <w:r>
        <w:rPr>
          <w:rFonts w:cs="Arial"/>
        </w:rPr>
        <w:t xml:space="preserve"> HOME-, and AHTF-assisted projects to help residents reduce ongoing energy costs.</w:t>
      </w:r>
    </w:p>
    <w:p w14:paraId="1C031385" w14:textId="77777777" w:rsidR="003B314F" w:rsidRDefault="001764E9">
      <w:pPr>
        <w:pStyle w:val="Heading2"/>
        <w:pageBreakBefore/>
        <w:widowControl w:val="0"/>
        <w:rPr>
          <w:rFonts w:ascii="Calibri" w:hAnsi="Calibri"/>
          <w:i w:val="0"/>
        </w:rPr>
      </w:pPr>
      <w:r>
        <w:rPr>
          <w:rFonts w:ascii="Calibri" w:hAnsi="Calibri"/>
          <w:i w:val="0"/>
        </w:rPr>
        <w:lastRenderedPageBreak/>
        <w:t>CR-40 - Monitoring 91.220 and 91.230</w:t>
      </w:r>
    </w:p>
    <w:p w14:paraId="4B55611F" w14:textId="489EE29A" w:rsidR="003B314F" w:rsidRPr="001764E9" w:rsidRDefault="001764E9">
      <w:pPr>
        <w:widowControl w:val="0"/>
        <w:rPr>
          <w:b/>
          <w:sz w:val="24"/>
          <w:szCs w:val="24"/>
        </w:rPr>
      </w:pPr>
      <w:r>
        <w:rPr>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p>
    <w:p w14:paraId="257BB522" w14:textId="77777777" w:rsidR="003B314F" w:rsidRDefault="001764E9">
      <w:pPr>
        <w:widowControl w:val="0"/>
        <w:spacing w:beforeAutospacing="1" w:afterAutospacing="1"/>
        <w:rPr>
          <w:rFonts w:cs="Arial"/>
        </w:rPr>
      </w:pPr>
      <w:proofErr w:type="gramStart"/>
      <w:r>
        <w:rPr>
          <w:rFonts w:cs="Arial"/>
        </w:rPr>
        <w:t>Monitoring of</w:t>
      </w:r>
      <w:proofErr w:type="gramEnd"/>
      <w:r>
        <w:rPr>
          <w:rFonts w:cs="Arial"/>
        </w:rPr>
        <w:t xml:space="preserve"> Evansville’s </w:t>
      </w:r>
      <w:proofErr w:type="gramStart"/>
      <w:r>
        <w:rPr>
          <w:rFonts w:cs="Arial"/>
        </w:rPr>
        <w:t>federally-funded</w:t>
      </w:r>
      <w:proofErr w:type="gramEnd"/>
      <w:r>
        <w:rPr>
          <w:rFonts w:cs="Arial"/>
        </w:rPr>
        <w:t xml:space="preserve"> programs is a comprehensive process. Monitoring occurs on a regular basis, during daily operation, as organizations submit invoices for reimbursement. The invoice must contain the appropriate State Board of Account financial documentation matching the reimbursement request, as well as an acceptable monthly monitoring report representing the number of persons or households served that month.</w:t>
      </w:r>
    </w:p>
    <w:p w14:paraId="15E0AF26" w14:textId="77777777" w:rsidR="003B314F" w:rsidRDefault="001764E9">
      <w:pPr>
        <w:widowControl w:val="0"/>
        <w:spacing w:beforeAutospacing="1" w:afterAutospacing="1"/>
        <w:rPr>
          <w:rFonts w:cs="Arial"/>
        </w:rPr>
      </w:pPr>
      <w:r>
        <w:rPr>
          <w:rFonts w:cs="Arial"/>
        </w:rPr>
        <w:t xml:space="preserve">On a yearly basis, a formal monitoring season occurs at the end of each program year. Remote and/or on-site monitoring for CDBG public service programs and projects is scheduled through written communication to all subrecipients. In the correspondence, the Community Development Specialist arranges for an appointment date and time and provides a list of documents that the organization must provide during the monitoring cycle. Each agency that has expenditures more than $750,000 of federal funds must provide </w:t>
      </w:r>
      <w:r>
        <w:rPr>
          <w:rFonts w:cs="Arial"/>
        </w:rPr>
        <w:t>a certified audit to DMD reporting on the details of the program, 120 days after year-end.</w:t>
      </w:r>
    </w:p>
    <w:p w14:paraId="67ABF774" w14:textId="77777777" w:rsidR="003B314F" w:rsidRDefault="001764E9">
      <w:pPr>
        <w:widowControl w:val="0"/>
        <w:spacing w:beforeAutospacing="1" w:afterAutospacing="1"/>
        <w:rPr>
          <w:rFonts w:cs="Arial"/>
        </w:rPr>
      </w:pPr>
      <w:r>
        <w:rPr>
          <w:rFonts w:cs="Arial"/>
        </w:rPr>
        <w:t xml:space="preserve">All findings and concerns are discussed in the exit interview with the organization, with a follow-up letter providing a timeframe for when the findings must be corrected and re-evaluated by the </w:t>
      </w:r>
      <w:proofErr w:type="gramStart"/>
      <w:r>
        <w:rPr>
          <w:rFonts w:cs="Arial"/>
        </w:rPr>
        <w:t>City</w:t>
      </w:r>
      <w:proofErr w:type="gramEnd"/>
      <w:r>
        <w:rPr>
          <w:rFonts w:cs="Arial"/>
        </w:rPr>
        <w:t xml:space="preserve"> if applicable. If no finding or concerns occur, or such incidences are properly remediated, the agency then receives a final confirmation letter to indicate that the activity </w:t>
      </w:r>
      <w:proofErr w:type="gramStart"/>
      <w:r>
        <w:rPr>
          <w:rFonts w:cs="Arial"/>
        </w:rPr>
        <w:t>is in compliance</w:t>
      </w:r>
      <w:proofErr w:type="gramEnd"/>
      <w:r>
        <w:rPr>
          <w:rFonts w:cs="Arial"/>
        </w:rPr>
        <w:t>.</w:t>
      </w:r>
    </w:p>
    <w:p w14:paraId="4B411540" w14:textId="77777777" w:rsidR="003B314F" w:rsidRDefault="001764E9">
      <w:pPr>
        <w:widowControl w:val="0"/>
        <w:spacing w:beforeAutospacing="1" w:afterAutospacing="1"/>
        <w:rPr>
          <w:rFonts w:cs="Arial"/>
        </w:rPr>
      </w:pPr>
      <w:r>
        <w:rPr>
          <w:rFonts w:cs="Arial"/>
        </w:rPr>
        <w:t xml:space="preserve">On-Site monitoring, </w:t>
      </w:r>
      <w:proofErr w:type="gramStart"/>
      <w:r>
        <w:rPr>
          <w:rFonts w:cs="Arial"/>
        </w:rPr>
        <w:t>most commonly facilitated</w:t>
      </w:r>
      <w:proofErr w:type="gramEnd"/>
      <w:r>
        <w:rPr>
          <w:rFonts w:cs="Arial"/>
        </w:rPr>
        <w:t xml:space="preserve"> by the DMD Inspector, occurs often as work commences on affordable housing projects funded with CDBG and HOME grants. Compliance is further obtained through property </w:t>
      </w:r>
      <w:proofErr w:type="gramStart"/>
      <w:r>
        <w:rPr>
          <w:rFonts w:cs="Arial"/>
        </w:rPr>
        <w:t>liens</w:t>
      </w:r>
      <w:proofErr w:type="gramEnd"/>
      <w:r>
        <w:rPr>
          <w:rFonts w:cs="Arial"/>
        </w:rPr>
        <w:t xml:space="preserve">, upon completion. All HOME mortgages, notes, and deed restrictions are standardized for agency use when executing the sale of homebuyer projects, owner-occupied rehabilitation projects, or for other property-related activities such as down payment assistance. All </w:t>
      </w:r>
      <w:proofErr w:type="gramStart"/>
      <w:r>
        <w:rPr>
          <w:rFonts w:cs="Arial"/>
        </w:rPr>
        <w:t>liens</w:t>
      </w:r>
      <w:proofErr w:type="gramEnd"/>
      <w:r>
        <w:rPr>
          <w:rFonts w:cs="Arial"/>
        </w:rPr>
        <w:t xml:space="preserve"> are reviewed by DMD prior to execution. The </w:t>
      </w:r>
      <w:r>
        <w:rPr>
          <w:rFonts w:cs="Arial"/>
        </w:rPr>
        <w:t>affordability period is based on the amount of CDBG or HOME funds that subsidized the loan and the project must be monitored until satisfied.</w:t>
      </w:r>
    </w:p>
    <w:p w14:paraId="1AD9189C" w14:textId="77777777" w:rsidR="003B314F" w:rsidRDefault="001764E9">
      <w:pPr>
        <w:widowControl w:val="0"/>
        <w:spacing w:beforeAutospacing="1" w:afterAutospacing="1"/>
        <w:rPr>
          <w:rFonts w:cs="Arial"/>
        </w:rPr>
      </w:pPr>
      <w:r>
        <w:rPr>
          <w:rFonts w:cs="Arial"/>
        </w:rPr>
        <w:t xml:space="preserve">HOME rental projects are monitored by the Housing Administrator and DMD inspector after the projects are completed. All </w:t>
      </w:r>
      <w:proofErr w:type="gramStart"/>
      <w:r>
        <w:rPr>
          <w:rFonts w:cs="Arial"/>
        </w:rPr>
        <w:t>rent rolls</w:t>
      </w:r>
      <w:proofErr w:type="gramEnd"/>
      <w:r>
        <w:rPr>
          <w:rFonts w:cs="Arial"/>
        </w:rPr>
        <w:t xml:space="preserve"> and financial information regarding the properties are annually monitored remotely. The owner is required to submit annual reports to the City/DMD on the income composition of the units, and year-end financial reports demonstrating good health in the rental property. The occurrence of on-site monitoring is based on the number of HOME units that were produced, in accordance with feral guidelines.</w:t>
      </w:r>
    </w:p>
    <w:p w14:paraId="1591E2C7" w14:textId="77777777" w:rsidR="003B314F" w:rsidRDefault="001764E9">
      <w:pPr>
        <w:widowControl w:val="0"/>
        <w:spacing w:beforeAutospacing="1" w:afterAutospacing="1"/>
        <w:rPr>
          <w:rFonts w:cs="Arial"/>
        </w:rPr>
      </w:pPr>
      <w:r>
        <w:rPr>
          <w:rFonts w:cs="Arial"/>
        </w:rPr>
        <w:t xml:space="preserve">ESG is monitored through the Standards (Systems) of Care, which will consist of four major sections per </w:t>
      </w:r>
      <w:r>
        <w:rPr>
          <w:rFonts w:cs="Arial"/>
        </w:rPr>
        <w:lastRenderedPageBreak/>
        <w:t>program</w:t>
      </w:r>
      <w:proofErr w:type="gramStart"/>
      <w:r>
        <w:rPr>
          <w:rFonts w:cs="Arial"/>
        </w:rPr>
        <w:t>:  Peer</w:t>
      </w:r>
      <w:proofErr w:type="gramEnd"/>
      <w:r>
        <w:rPr>
          <w:rFonts w:cs="Arial"/>
        </w:rPr>
        <w:t xml:space="preserve"> Review, Government requirements (HUD, IHCDA, City of Evansville), Coordinated Entry, and the traditional Standards of Care focused on housing first.  This includes a SWOT analysis. In addition to individual program monitoring, the entire system of </w:t>
      </w:r>
      <w:proofErr w:type="gramStart"/>
      <w:r>
        <w:rPr>
          <w:rFonts w:cs="Arial"/>
        </w:rPr>
        <w:t>Region</w:t>
      </w:r>
      <w:proofErr w:type="gramEnd"/>
      <w:r>
        <w:rPr>
          <w:rFonts w:cs="Arial"/>
        </w:rPr>
        <w:t xml:space="preserve"> 12 is evaluated.</w:t>
      </w:r>
    </w:p>
    <w:p w14:paraId="18B5B86C" w14:textId="77777777" w:rsidR="003B314F" w:rsidRDefault="001764E9">
      <w:pPr>
        <w:widowControl w:val="0"/>
        <w:spacing w:beforeAutospacing="1" w:afterAutospacing="1"/>
        <w:rPr>
          <w:rFonts w:cs="Arial"/>
        </w:rPr>
      </w:pPr>
      <w:r>
        <w:rPr>
          <w:rFonts w:cs="Arial"/>
        </w:rPr>
        <w:t>Local agencies commonly receive funding from various levels, including federal, state, and local.  IHCDA and the City of Evansville are working to streamline requirements and policies with each other, especially when joint funding of the same agency program occurs. Generally, the City of Evansville allows agencies to use IHCDA policies and manuals for program requirements, and exceptions must be outlined in writing and included as addendums on agreements. IHCDA supplies agencies with several worksheets, inc</w:t>
      </w:r>
      <w:r>
        <w:rPr>
          <w:rFonts w:cs="Arial"/>
        </w:rPr>
        <w:t xml:space="preserve">luding budget, match, and income verification tools. HUD guidance and the Code of Federal Regulations (CFR) </w:t>
      </w:r>
      <w:proofErr w:type="gramStart"/>
      <w:r>
        <w:rPr>
          <w:rFonts w:cs="Arial"/>
        </w:rPr>
        <w:t>is</w:t>
      </w:r>
      <w:proofErr w:type="gramEnd"/>
      <w:r>
        <w:rPr>
          <w:rFonts w:cs="Arial"/>
        </w:rPr>
        <w:t xml:space="preserve"> used as general guidance. The Supportive Housing Program (SHP) Self-Monitoring Tools is still in place until HUD replaces the manual.</w:t>
      </w:r>
    </w:p>
    <w:p w14:paraId="0E70CFB2" w14:textId="77777777" w:rsidR="003B314F" w:rsidRDefault="003B314F">
      <w:pPr>
        <w:widowControl w:val="0"/>
        <w:rPr>
          <w:rFonts w:cs="Arial"/>
        </w:rPr>
      </w:pPr>
    </w:p>
    <w:p w14:paraId="18DC8595" w14:textId="77777777" w:rsidR="003B314F" w:rsidRDefault="001764E9">
      <w:pPr>
        <w:widowControl w:val="0"/>
        <w:rPr>
          <w:b/>
          <w:sz w:val="24"/>
          <w:szCs w:val="24"/>
        </w:rPr>
      </w:pPr>
      <w:r>
        <w:rPr>
          <w:b/>
          <w:sz w:val="24"/>
          <w:szCs w:val="24"/>
        </w:rPr>
        <w:t>Citizen Participation Plan 91.105(d); 91.115(d)</w:t>
      </w:r>
    </w:p>
    <w:p w14:paraId="5EFD5528" w14:textId="77777777" w:rsidR="003B314F" w:rsidRDefault="001764E9">
      <w:pPr>
        <w:widowControl w:val="0"/>
        <w:rPr>
          <w:sz w:val="24"/>
          <w:szCs w:val="24"/>
        </w:rPr>
      </w:pPr>
      <w:r>
        <w:rPr>
          <w:b/>
          <w:sz w:val="24"/>
          <w:szCs w:val="24"/>
        </w:rPr>
        <w:t>Describe the efforts to provide citizens with reasonable notice and an opportunity to comment on performance reports</w:t>
      </w:r>
      <w:r>
        <w:rPr>
          <w:sz w:val="24"/>
          <w:szCs w:val="24"/>
        </w:rPr>
        <w:t>.</w:t>
      </w:r>
    </w:p>
    <w:p w14:paraId="37B8C9EE" w14:textId="77777777" w:rsidR="003B314F" w:rsidRDefault="003B314F"/>
    <w:p w14:paraId="4727869A" w14:textId="77777777" w:rsidR="003B314F" w:rsidRDefault="001764E9">
      <w:pPr>
        <w:keepNext/>
        <w:pageBreakBefore/>
        <w:widowControl w:val="0"/>
        <w:spacing w:before="240" w:after="60"/>
        <w:outlineLvl w:val="1"/>
        <w:rPr>
          <w:rFonts w:cs="Arial"/>
          <w:b/>
          <w:bCs/>
          <w:iCs/>
          <w:sz w:val="28"/>
          <w:szCs w:val="28"/>
        </w:rPr>
      </w:pPr>
      <w:r>
        <w:rPr>
          <w:rFonts w:cs="Arial"/>
          <w:b/>
          <w:bCs/>
          <w:iCs/>
          <w:sz w:val="28"/>
          <w:szCs w:val="28"/>
        </w:rPr>
        <w:lastRenderedPageBreak/>
        <w:t>CR-45 - CDBG 91.520(c)</w:t>
      </w:r>
    </w:p>
    <w:p w14:paraId="5263A54D" w14:textId="77777777" w:rsidR="003B314F" w:rsidRDefault="001764E9">
      <w:pPr>
        <w:widowControl w:val="0"/>
        <w:rPr>
          <w:b/>
          <w:sz w:val="24"/>
          <w:szCs w:val="24"/>
        </w:rPr>
      </w:pPr>
      <w:r>
        <w:rPr>
          <w:b/>
          <w:sz w:val="24"/>
          <w:szCs w:val="24"/>
        </w:rPr>
        <w:t xml:space="preserve">Specify the nature of, and reasons for, any changes in the jurisdiction’s program objectives and indications of how the jurisdiction would change its programs </w:t>
      </w:r>
      <w:proofErr w:type="gramStart"/>
      <w:r>
        <w:rPr>
          <w:b/>
          <w:sz w:val="24"/>
          <w:szCs w:val="24"/>
        </w:rPr>
        <w:t>as a result of</w:t>
      </w:r>
      <w:proofErr w:type="gramEnd"/>
      <w:r>
        <w:rPr>
          <w:b/>
          <w:sz w:val="24"/>
          <w:szCs w:val="24"/>
        </w:rPr>
        <w:t xml:space="preserve"> its experiences.</w:t>
      </w:r>
    </w:p>
    <w:p w14:paraId="53C94F44" w14:textId="77777777" w:rsidR="003B314F" w:rsidRDefault="001764E9">
      <w:pPr>
        <w:widowControl w:val="0"/>
        <w:spacing w:beforeAutospacing="1" w:afterAutospacing="1"/>
        <w:rPr>
          <w:rFonts w:cs="Arial"/>
        </w:rPr>
      </w:pPr>
      <w:r>
        <w:rPr>
          <w:rFonts w:cs="Arial"/>
        </w:rPr>
        <w:t>In 2024, there were no significant changes in the jurisdiction's program objectives. However, progress was made toward the expenditure of the City’s HOME-ARP and CDBG-CV funds; 16% and 6% of each allocation remain unexpended, respectively, at this time.  </w:t>
      </w:r>
    </w:p>
    <w:p w14:paraId="6CF2CACD" w14:textId="77777777" w:rsidR="003B314F" w:rsidRDefault="001764E9">
      <w:pPr>
        <w:widowControl w:val="0"/>
        <w:spacing w:beforeAutospacing="1" w:afterAutospacing="1"/>
        <w:rPr>
          <w:rFonts w:cs="Arial"/>
        </w:rPr>
      </w:pPr>
      <w:r>
        <w:rPr>
          <w:rFonts w:cs="Arial"/>
        </w:rPr>
        <w:t>The City of Evansville is currently seeking new activities to fund with CDBG-CV, though no specific activities have been identified for an allocation at this time. Activities must generally be used for prevention of, preparation for, or response to the spread of COVID-19.</w:t>
      </w:r>
    </w:p>
    <w:p w14:paraId="395B1847" w14:textId="77777777" w:rsidR="003B314F" w:rsidRDefault="001764E9">
      <w:pPr>
        <w:widowControl w:val="0"/>
        <w:spacing w:beforeAutospacing="1" w:afterAutospacing="1"/>
        <w:rPr>
          <w:rFonts w:cs="Arial"/>
        </w:rPr>
      </w:pPr>
      <w:r>
        <w:rPr>
          <w:rFonts w:cs="Arial"/>
        </w:rPr>
        <w:t xml:space="preserve">HOME-ARP must be used to primarily benefit individuals or families from qualifying populations, as outlined in CPD-21-10. Construction of two HOME-ARP rental affordable housing development projects </w:t>
      </w:r>
      <w:proofErr w:type="gramStart"/>
      <w:r>
        <w:rPr>
          <w:rFonts w:cs="Arial"/>
        </w:rPr>
        <w:t>were</w:t>
      </w:r>
      <w:proofErr w:type="gramEnd"/>
      <w:r>
        <w:rPr>
          <w:rFonts w:cs="Arial"/>
        </w:rPr>
        <w:t xml:space="preserve"> </w:t>
      </w:r>
      <w:proofErr w:type="gramStart"/>
      <w:r>
        <w:rPr>
          <w:rFonts w:cs="Arial"/>
        </w:rPr>
        <w:t>completed, and</w:t>
      </w:r>
      <w:proofErr w:type="gramEnd"/>
      <w:r>
        <w:rPr>
          <w:rFonts w:cs="Arial"/>
        </w:rPr>
        <w:t xml:space="preserve"> are now fully leased. These projects are:</w:t>
      </w:r>
    </w:p>
    <w:p w14:paraId="76BF34BB" w14:textId="77777777" w:rsidR="003B314F" w:rsidRDefault="001764E9">
      <w:pPr>
        <w:widowControl w:val="0"/>
        <w:numPr>
          <w:ilvl w:val="0"/>
          <w:numId w:val="3"/>
        </w:numPr>
        <w:spacing w:beforeAutospacing="1" w:afterAutospacing="1"/>
        <w:rPr>
          <w:rFonts w:cs="Arial"/>
        </w:rPr>
      </w:pPr>
      <w:r>
        <w:rPr>
          <w:rFonts w:cs="Arial"/>
        </w:rPr>
        <w:t>Baker Flats - a four-story, 52-unit complex offering a range of studio, one and two-bedroom apartments.</w:t>
      </w:r>
    </w:p>
    <w:p w14:paraId="2056DB14" w14:textId="77777777" w:rsidR="003B314F" w:rsidRDefault="001764E9">
      <w:pPr>
        <w:widowControl w:val="0"/>
        <w:numPr>
          <w:ilvl w:val="0"/>
          <w:numId w:val="3"/>
        </w:numPr>
        <w:spacing w:beforeAutospacing="1" w:afterAutospacing="1"/>
        <w:rPr>
          <w:rFonts w:cs="Arial"/>
        </w:rPr>
      </w:pPr>
      <w:r>
        <w:rPr>
          <w:rFonts w:cs="Arial"/>
        </w:rPr>
        <w:t>Promise Home - a two-story, 27-unit (all 1 bedroom) supportive-housing development.</w:t>
      </w:r>
    </w:p>
    <w:p w14:paraId="3F1F4C88" w14:textId="77777777" w:rsidR="003B314F" w:rsidRDefault="001764E9">
      <w:pPr>
        <w:widowControl w:val="0"/>
        <w:spacing w:beforeAutospacing="1" w:afterAutospacing="1"/>
        <w:rPr>
          <w:rFonts w:cs="Arial"/>
        </w:rPr>
      </w:pPr>
      <w:r>
        <w:rPr>
          <w:rFonts w:cs="Arial"/>
        </w:rPr>
        <w:t>The remaining HOME-ARP funds have been allocated toward providing Supportive Services to tenants of these units, as well as program administrative/planning expenses.</w:t>
      </w:r>
    </w:p>
    <w:p w14:paraId="2EC7D513" w14:textId="77777777" w:rsidR="003B314F" w:rsidRDefault="001764E9">
      <w:pPr>
        <w:widowControl w:val="0"/>
        <w:rPr>
          <w:b/>
          <w:sz w:val="24"/>
          <w:szCs w:val="24"/>
        </w:rPr>
      </w:pPr>
      <w:r>
        <w:rPr>
          <w:b/>
          <w:sz w:val="24"/>
          <w:szCs w:val="24"/>
        </w:rPr>
        <w:t>Does this Jurisdiction have any open Brownfields Economic Development Initiative (BEDI) grants?</w:t>
      </w:r>
    </w:p>
    <w:p w14:paraId="4346014F" w14:textId="77777777" w:rsidR="003B314F" w:rsidRDefault="001764E9">
      <w:pPr>
        <w:widowControl w:val="0"/>
        <w:spacing w:beforeAutospacing="1" w:afterAutospacing="1"/>
        <w:rPr>
          <w:rFonts w:cs="Arial"/>
        </w:rPr>
      </w:pPr>
      <w:r>
        <w:rPr>
          <w:rFonts w:cs="Arial"/>
        </w:rPr>
        <w:t>No</w:t>
      </w:r>
    </w:p>
    <w:p w14:paraId="6FAD1182" w14:textId="77777777" w:rsidR="003B314F" w:rsidRDefault="001764E9">
      <w:pPr>
        <w:widowControl w:val="0"/>
        <w:rPr>
          <w:b/>
          <w:sz w:val="24"/>
          <w:szCs w:val="24"/>
        </w:rPr>
      </w:pPr>
      <w:r>
        <w:rPr>
          <w:b/>
          <w:sz w:val="24"/>
          <w:szCs w:val="24"/>
        </w:rPr>
        <w:t xml:space="preserve">[BEDI </w:t>
      </w:r>
      <w:proofErr w:type="gramStart"/>
      <w:r>
        <w:rPr>
          <w:b/>
          <w:sz w:val="24"/>
          <w:szCs w:val="24"/>
        </w:rPr>
        <w:t>grantees]  Describe</w:t>
      </w:r>
      <w:proofErr w:type="gramEnd"/>
      <w:r>
        <w:rPr>
          <w:b/>
          <w:sz w:val="24"/>
          <w:szCs w:val="24"/>
        </w:rPr>
        <w:t xml:space="preserve"> accomplishments and program outcomes during the last year.</w:t>
      </w:r>
    </w:p>
    <w:p w14:paraId="5D8591F3" w14:textId="77777777" w:rsidR="003B314F" w:rsidRDefault="003B314F">
      <w:pPr>
        <w:widowControl w:val="0"/>
        <w:rPr>
          <w:rFonts w:cs="Arial"/>
        </w:rPr>
      </w:pPr>
    </w:p>
    <w:p w14:paraId="683CFC81" w14:textId="77777777" w:rsidR="003B314F" w:rsidRDefault="003B314F"/>
    <w:p w14:paraId="06AFC9EB" w14:textId="77777777" w:rsidR="003B314F" w:rsidRDefault="003B314F"/>
    <w:p w14:paraId="20E1E2D0" w14:textId="77777777" w:rsidR="003B314F" w:rsidRDefault="001764E9">
      <w:pPr>
        <w:pStyle w:val="Heading2"/>
        <w:pageBreakBefore/>
        <w:widowControl w:val="0"/>
        <w:rPr>
          <w:rFonts w:ascii="Calibri" w:hAnsi="Calibri"/>
          <w:i w:val="0"/>
        </w:rPr>
      </w:pPr>
      <w:r>
        <w:rPr>
          <w:rFonts w:ascii="Calibri" w:hAnsi="Calibri"/>
          <w:i w:val="0"/>
        </w:rPr>
        <w:lastRenderedPageBreak/>
        <w:t>CR-50 - HOME 24 CFR 91.520(d)</w:t>
      </w:r>
    </w:p>
    <w:p w14:paraId="14C70002" w14:textId="77777777" w:rsidR="003B314F" w:rsidRDefault="001764E9">
      <w:pPr>
        <w:widowControl w:val="0"/>
        <w:rPr>
          <w:b/>
          <w:sz w:val="24"/>
          <w:szCs w:val="24"/>
        </w:rPr>
      </w:pPr>
      <w:r>
        <w:rPr>
          <w:b/>
          <w:sz w:val="24"/>
          <w:szCs w:val="24"/>
        </w:rPr>
        <w:t xml:space="preserve">Include the results of on-site inspections of affordable rental housing assisted under the program to determine compliance with housing codes and other applicable regulations </w:t>
      </w:r>
    </w:p>
    <w:p w14:paraId="31581A47" w14:textId="77777777" w:rsidR="003B314F" w:rsidRDefault="001764E9">
      <w:pPr>
        <w:widowControl w:val="0"/>
        <w:rPr>
          <w:sz w:val="24"/>
          <w:szCs w:val="24"/>
        </w:rPr>
      </w:pPr>
      <w:r>
        <w:rPr>
          <w:sz w:val="24"/>
          <w:szCs w:val="24"/>
        </w:rPr>
        <w:t>Please list those projects that should have been inspected on-site this program year based upon the schedule in 24 CFR §92.504(d). Indicate which of these were inspected and a summary of issues that were detected during the inspection. For those that were not inspected, please indicate the reason and how you will remedy the situation.</w:t>
      </w:r>
    </w:p>
    <w:p w14:paraId="1BF4EF8F" w14:textId="77777777" w:rsidR="003B314F" w:rsidRDefault="003B314F">
      <w:pPr>
        <w:widowControl w:val="0"/>
        <w:rPr>
          <w:rFonts w:cs="Arial"/>
        </w:rPr>
      </w:pPr>
    </w:p>
    <w:p w14:paraId="1E970BA8" w14:textId="77777777" w:rsidR="003B314F" w:rsidRDefault="001764E9">
      <w:pPr>
        <w:widowControl w:val="0"/>
        <w:rPr>
          <w:b/>
          <w:sz w:val="24"/>
          <w:szCs w:val="24"/>
        </w:rPr>
      </w:pPr>
      <w:r>
        <w:rPr>
          <w:b/>
          <w:sz w:val="24"/>
          <w:szCs w:val="24"/>
        </w:rPr>
        <w:t>Provide an assessment of the jurisdiction's affirmative marketing actions for HOME units. 24 CFR 91.520(e) and 24 CFR 92.351(a)</w:t>
      </w:r>
    </w:p>
    <w:p w14:paraId="23A6E32E" w14:textId="77777777" w:rsidR="003B314F" w:rsidRDefault="001764E9">
      <w:pPr>
        <w:widowControl w:val="0"/>
        <w:spacing w:beforeAutospacing="1" w:afterAutospacing="1"/>
        <w:rPr>
          <w:rFonts w:cs="Arial"/>
        </w:rPr>
      </w:pPr>
      <w:r>
        <w:rPr>
          <w:rFonts w:cs="Arial"/>
        </w:rPr>
        <w:t>In Program Year 2024, the City of Evansville continued to enforce and monitor affirmative marketing requirements for all HOME-assisted projects in accordance with 24 CFR 92.351(a). These requirements are designed to ensure that information about affordable housing opportunities reaches all segments of the community, particularly those least like to apply without targeted outreach.</w:t>
      </w:r>
    </w:p>
    <w:p w14:paraId="5466298F" w14:textId="77777777" w:rsidR="003B314F" w:rsidRDefault="001764E9">
      <w:pPr>
        <w:widowControl w:val="0"/>
        <w:spacing w:beforeAutospacing="1" w:afterAutospacing="1"/>
        <w:rPr>
          <w:rFonts w:cs="Arial"/>
        </w:rPr>
      </w:pPr>
      <w:r>
        <w:rPr>
          <w:rFonts w:cs="Arial"/>
        </w:rPr>
        <w:t xml:space="preserve">As subrecipients, developers, and CHDOs receiving HOME funds are required to submit an Affirmative Marketing Plan as part of their funding agreement. These plans outline specific steps to reach minority populations, </w:t>
      </w:r>
      <w:proofErr w:type="gramStart"/>
      <w:r>
        <w:rPr>
          <w:rFonts w:cs="Arial"/>
        </w:rPr>
        <w:t>persons</w:t>
      </w:r>
      <w:proofErr w:type="gramEnd"/>
      <w:r>
        <w:rPr>
          <w:rFonts w:cs="Arial"/>
        </w:rPr>
        <w:t xml:space="preserve"> with disabilities, families with children, and other underserved groups. At a minimum, plans must include use of inclusive advertising media, outreach to community-based organizations, and provision of information in accessible formats upon request.</w:t>
      </w:r>
    </w:p>
    <w:p w14:paraId="6E554896" w14:textId="77777777" w:rsidR="003B314F" w:rsidRDefault="001764E9">
      <w:pPr>
        <w:widowControl w:val="0"/>
        <w:spacing w:beforeAutospacing="1" w:afterAutospacing="1"/>
        <w:rPr>
          <w:rFonts w:cs="Arial"/>
        </w:rPr>
      </w:pPr>
      <w:r>
        <w:rPr>
          <w:rFonts w:cs="Arial"/>
        </w:rPr>
        <w:t xml:space="preserve">The Department of Metropolitan Development ensures compliance through its annual rental monitoring of HOME-assisted properties. During monitoring visits, staff </w:t>
      </w:r>
      <w:proofErr w:type="gramStart"/>
      <w:r>
        <w:rPr>
          <w:rFonts w:cs="Arial"/>
        </w:rPr>
        <w:t>reviews</w:t>
      </w:r>
      <w:proofErr w:type="gramEnd"/>
      <w:r>
        <w:rPr>
          <w:rFonts w:cs="Arial"/>
        </w:rPr>
        <w:t xml:space="preserve"> property managers’ marketing materials, tenant selection policies, and occupancy data to verify that affirmative marketing actions are being implemented as approved. Where deficiencies are identified, DMD provides technical assistance and requires corrective actions to ensure compliance with HUD standards.</w:t>
      </w:r>
    </w:p>
    <w:p w14:paraId="58CE8313" w14:textId="77777777" w:rsidR="003B314F" w:rsidRDefault="001764E9">
      <w:pPr>
        <w:widowControl w:val="0"/>
        <w:spacing w:beforeAutospacing="1" w:afterAutospacing="1"/>
        <w:rPr>
          <w:rFonts w:cs="Arial"/>
        </w:rPr>
      </w:pPr>
      <w:r>
        <w:rPr>
          <w:rFonts w:cs="Arial"/>
        </w:rPr>
        <w:t xml:space="preserve">In PY 2024, the City’s monitoring showed that property managers showed that property managers generally adhere to their approved plans, </w:t>
      </w:r>
      <w:proofErr w:type="gramStart"/>
      <w:r>
        <w:rPr>
          <w:rFonts w:cs="Arial"/>
        </w:rPr>
        <w:t>included</w:t>
      </w:r>
      <w:proofErr w:type="gramEnd"/>
      <w:r>
        <w:rPr>
          <w:rFonts w:cs="Arial"/>
        </w:rPr>
        <w:t xml:space="preserve"> outreach to different community organizations and the use of HUD’s Equal Housing Opportunity logo in all advertisements. New HOME-</w:t>
      </w:r>
      <w:proofErr w:type="spellStart"/>
      <w:r>
        <w:rPr>
          <w:rFonts w:cs="Arial"/>
        </w:rPr>
        <w:t>fuded</w:t>
      </w:r>
      <w:proofErr w:type="spellEnd"/>
      <w:r>
        <w:rPr>
          <w:rFonts w:cs="Arial"/>
        </w:rPr>
        <w:t xml:space="preserve"> developments demonstrated compliance through targeted outreach and tenant selection practices consistent with far housing and affirmative marketing requirements.</w:t>
      </w:r>
    </w:p>
    <w:p w14:paraId="05874EFE" w14:textId="77777777" w:rsidR="003B314F" w:rsidRDefault="001764E9">
      <w:pPr>
        <w:widowControl w:val="0"/>
        <w:rPr>
          <w:b/>
          <w:sz w:val="24"/>
          <w:szCs w:val="24"/>
        </w:rPr>
      </w:pPr>
      <w:r>
        <w:rPr>
          <w:b/>
          <w:sz w:val="24"/>
          <w:szCs w:val="24"/>
        </w:rPr>
        <w:t>Refer to IDIS reports to describe the amount and use of program income for projects, including the number of projects and owner and tenant characteristics</w:t>
      </w:r>
    </w:p>
    <w:p w14:paraId="32EE06A5" w14:textId="77777777" w:rsidR="003B314F" w:rsidRDefault="003B314F">
      <w:pPr>
        <w:widowControl w:val="0"/>
        <w:rPr>
          <w:rFonts w:cs="Arial"/>
        </w:rPr>
      </w:pPr>
    </w:p>
    <w:p w14:paraId="7081AD66" w14:textId="77777777" w:rsidR="003B314F" w:rsidRDefault="001764E9">
      <w:pPr>
        <w:widowControl w:val="0"/>
        <w:rPr>
          <w:b/>
          <w:sz w:val="24"/>
          <w:szCs w:val="24"/>
        </w:rPr>
      </w:pPr>
      <w:r>
        <w:rPr>
          <w:b/>
          <w:sz w:val="24"/>
          <w:szCs w:val="24"/>
        </w:rPr>
        <w:lastRenderedPageBreak/>
        <w:t>Describe other actions taken to foster and maintain affordable housing. 24 CFR 91.220(k) (STATES ONLY: Including the coordination of LIHTC with the development of affordable housing). 24 CFR 91.320(j)</w:t>
      </w:r>
    </w:p>
    <w:p w14:paraId="39E60A81" w14:textId="77777777" w:rsidR="003B314F" w:rsidRDefault="003B314F">
      <w:pPr>
        <w:widowControl w:val="0"/>
        <w:rPr>
          <w:rFonts w:cs="Arial"/>
        </w:rPr>
      </w:pPr>
    </w:p>
    <w:p w14:paraId="492DD8CB" w14:textId="77777777" w:rsidR="003B314F" w:rsidRDefault="003B314F">
      <w:pPr>
        <w:widowControl w:val="0"/>
        <w:rPr>
          <w:rFonts w:cs="Arial"/>
          <w:szCs w:val="26"/>
        </w:rPr>
      </w:pPr>
    </w:p>
    <w:p w14:paraId="7EE2CD17" w14:textId="77777777" w:rsidR="003B314F" w:rsidRDefault="003B314F"/>
    <w:p w14:paraId="5DE2FA64" w14:textId="77777777" w:rsidR="003B314F" w:rsidRDefault="003B314F"/>
    <w:p w14:paraId="67ACC516" w14:textId="77777777" w:rsidR="003B314F" w:rsidRDefault="001764E9">
      <w:pPr>
        <w:pStyle w:val="Heading2"/>
        <w:keepNext w:val="0"/>
        <w:pageBreakBefore/>
        <w:widowControl w:val="0"/>
        <w:rPr>
          <w:rFonts w:ascii="Calibri" w:hAnsi="Calibri"/>
          <w:i w:val="0"/>
        </w:rPr>
      </w:pPr>
      <w:r>
        <w:rPr>
          <w:rFonts w:ascii="Calibri" w:hAnsi="Calibri"/>
          <w:i w:val="0"/>
        </w:rPr>
        <w:lastRenderedPageBreak/>
        <w:t>CR-58 – Section 3</w:t>
      </w:r>
    </w:p>
    <w:p w14:paraId="6A11D95F" w14:textId="77777777" w:rsidR="003B314F" w:rsidRDefault="001764E9" w:rsidP="001764E9">
      <w:pPr>
        <w:widowControl w:val="0"/>
        <w:spacing w:after="0"/>
        <w:rPr>
          <w:b/>
          <w:sz w:val="24"/>
          <w:szCs w:val="24"/>
        </w:rPr>
      </w:pPr>
      <w:r>
        <w:rPr>
          <w:b/>
          <w:sz w:val="24"/>
          <w:szCs w:val="24"/>
        </w:rPr>
        <w:t xml:space="preserve">Identify the number of individuals assisted and the types of assistance provided </w:t>
      </w:r>
    </w:p>
    <w:p w14:paraId="49CCFF6E" w14:textId="77777777" w:rsidR="003B314F" w:rsidRDefault="003B314F" w:rsidP="001764E9">
      <w:pPr>
        <w:widowControl w:val="0"/>
        <w:spacing w:after="0"/>
        <w:rPr>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3B314F" w14:paraId="4FC9492E" w14:textId="77777777">
        <w:trPr>
          <w:cantSplit/>
        </w:trPr>
        <w:tc>
          <w:tcPr>
            <w:tcW w:w="5490" w:type="dxa"/>
          </w:tcPr>
          <w:p w14:paraId="58700AB5" w14:textId="77777777" w:rsidR="003B314F" w:rsidRDefault="001764E9">
            <w:pPr>
              <w:keepNext/>
              <w:widowControl w:val="0"/>
              <w:tabs>
                <w:tab w:val="left" w:pos="2070"/>
              </w:tabs>
              <w:spacing w:after="0" w:line="240" w:lineRule="auto"/>
              <w:ind w:right="162"/>
              <w:jc w:val="center"/>
              <w:rPr>
                <w:b/>
              </w:rPr>
            </w:pPr>
            <w:r>
              <w:rPr>
                <w:b/>
              </w:rPr>
              <w:t>Total Labor Hours</w:t>
            </w:r>
          </w:p>
        </w:tc>
        <w:tc>
          <w:tcPr>
            <w:tcW w:w="810" w:type="dxa"/>
          </w:tcPr>
          <w:p w14:paraId="5D57A33C" w14:textId="77777777" w:rsidR="003B314F" w:rsidRDefault="001764E9">
            <w:pPr>
              <w:keepNext/>
              <w:widowControl w:val="0"/>
              <w:spacing w:after="0" w:line="240" w:lineRule="auto"/>
              <w:jc w:val="center"/>
              <w:rPr>
                <w:b/>
              </w:rPr>
            </w:pPr>
            <w:r>
              <w:rPr>
                <w:b/>
              </w:rPr>
              <w:t>CDBG</w:t>
            </w:r>
          </w:p>
        </w:tc>
        <w:tc>
          <w:tcPr>
            <w:tcW w:w="900" w:type="dxa"/>
          </w:tcPr>
          <w:p w14:paraId="061E1AB4" w14:textId="77777777" w:rsidR="003B314F" w:rsidRDefault="001764E9">
            <w:pPr>
              <w:keepNext/>
              <w:widowControl w:val="0"/>
              <w:spacing w:after="0" w:line="240" w:lineRule="auto"/>
              <w:jc w:val="center"/>
              <w:rPr>
                <w:b/>
              </w:rPr>
            </w:pPr>
            <w:r>
              <w:rPr>
                <w:b/>
              </w:rPr>
              <w:t>HOME</w:t>
            </w:r>
          </w:p>
        </w:tc>
        <w:tc>
          <w:tcPr>
            <w:tcW w:w="720" w:type="dxa"/>
          </w:tcPr>
          <w:p w14:paraId="4BF32011" w14:textId="77777777" w:rsidR="003B314F" w:rsidRDefault="001764E9">
            <w:pPr>
              <w:keepNext/>
              <w:widowControl w:val="0"/>
              <w:spacing w:after="0" w:line="240" w:lineRule="auto"/>
              <w:rPr>
                <w:b/>
              </w:rPr>
            </w:pPr>
            <w:r>
              <w:rPr>
                <w:b/>
              </w:rPr>
              <w:t>ESG</w:t>
            </w:r>
          </w:p>
        </w:tc>
        <w:tc>
          <w:tcPr>
            <w:tcW w:w="990" w:type="dxa"/>
          </w:tcPr>
          <w:p w14:paraId="4921FA40" w14:textId="77777777" w:rsidR="003B314F" w:rsidRDefault="001764E9">
            <w:pPr>
              <w:keepNext/>
              <w:widowControl w:val="0"/>
              <w:spacing w:after="0" w:line="240" w:lineRule="auto"/>
              <w:jc w:val="center"/>
              <w:rPr>
                <w:b/>
              </w:rPr>
            </w:pPr>
            <w:r>
              <w:rPr>
                <w:b/>
              </w:rPr>
              <w:t>HOPWA</w:t>
            </w:r>
          </w:p>
        </w:tc>
        <w:tc>
          <w:tcPr>
            <w:tcW w:w="720" w:type="dxa"/>
          </w:tcPr>
          <w:p w14:paraId="378A4D6E" w14:textId="77777777" w:rsidR="003B314F" w:rsidRDefault="001764E9">
            <w:pPr>
              <w:keepNext/>
              <w:widowControl w:val="0"/>
              <w:spacing w:after="0" w:line="240" w:lineRule="auto"/>
              <w:jc w:val="center"/>
              <w:rPr>
                <w:b/>
              </w:rPr>
            </w:pPr>
            <w:r>
              <w:rPr>
                <w:b/>
              </w:rPr>
              <w:t>HTF</w:t>
            </w:r>
          </w:p>
        </w:tc>
      </w:tr>
      <w:tr w:rsidR="003B314F" w14:paraId="4FEEECBA" w14:textId="77777777">
        <w:trPr>
          <w:cantSplit/>
        </w:trPr>
        <w:tc>
          <w:tcPr>
            <w:tcW w:w="5490" w:type="dxa"/>
            <w:vAlign w:val="center"/>
          </w:tcPr>
          <w:p w14:paraId="780949D7" w14:textId="77777777" w:rsidR="003B314F" w:rsidRDefault="001764E9">
            <w:pPr>
              <w:spacing w:beforeAutospacing="1" w:afterAutospacing="1"/>
            </w:pPr>
            <w:r>
              <w:rPr>
                <w:rFonts w:ascii="Arial" w:hAnsi="Arial"/>
                <w:color w:val="25396E"/>
                <w:sz w:val="16"/>
              </w:rPr>
              <w:t>Total Number of Activities</w:t>
            </w:r>
          </w:p>
        </w:tc>
        <w:tc>
          <w:tcPr>
            <w:tcW w:w="810" w:type="dxa"/>
            <w:vAlign w:val="center"/>
          </w:tcPr>
          <w:p w14:paraId="1762BF09" w14:textId="77777777" w:rsidR="003B314F" w:rsidRDefault="001764E9">
            <w:pPr>
              <w:spacing w:beforeAutospacing="1" w:afterAutospacing="1"/>
              <w:jc w:val="right"/>
            </w:pPr>
            <w:r>
              <w:rPr>
                <w:rFonts w:ascii="Arial" w:hAnsi="Arial"/>
                <w:color w:val="000000"/>
                <w:sz w:val="16"/>
              </w:rPr>
              <w:t>1</w:t>
            </w:r>
          </w:p>
        </w:tc>
        <w:tc>
          <w:tcPr>
            <w:tcW w:w="900" w:type="dxa"/>
            <w:vAlign w:val="center"/>
          </w:tcPr>
          <w:p w14:paraId="42476E8C" w14:textId="77777777" w:rsidR="003B314F" w:rsidRDefault="001764E9">
            <w:pPr>
              <w:spacing w:beforeAutospacing="1" w:afterAutospacing="1"/>
              <w:jc w:val="right"/>
            </w:pPr>
            <w:r>
              <w:rPr>
                <w:rFonts w:ascii="Arial" w:hAnsi="Arial"/>
                <w:color w:val="000000"/>
                <w:sz w:val="16"/>
              </w:rPr>
              <w:t>4</w:t>
            </w:r>
          </w:p>
        </w:tc>
        <w:tc>
          <w:tcPr>
            <w:tcW w:w="720" w:type="dxa"/>
            <w:vAlign w:val="center"/>
          </w:tcPr>
          <w:p w14:paraId="4968C621" w14:textId="77777777" w:rsidR="003B314F" w:rsidRDefault="001764E9">
            <w:pPr>
              <w:spacing w:beforeAutospacing="1" w:afterAutospacing="1"/>
              <w:jc w:val="right"/>
            </w:pPr>
            <w:r>
              <w:rPr>
                <w:rFonts w:ascii="Arial" w:hAnsi="Arial"/>
                <w:color w:val="000000"/>
                <w:sz w:val="16"/>
              </w:rPr>
              <w:t>0</w:t>
            </w:r>
          </w:p>
        </w:tc>
        <w:tc>
          <w:tcPr>
            <w:tcW w:w="990" w:type="dxa"/>
            <w:vAlign w:val="center"/>
          </w:tcPr>
          <w:p w14:paraId="5385AE96" w14:textId="77777777" w:rsidR="003B314F" w:rsidRDefault="001764E9">
            <w:pPr>
              <w:spacing w:beforeAutospacing="1" w:afterAutospacing="1"/>
              <w:jc w:val="right"/>
            </w:pPr>
            <w:r>
              <w:rPr>
                <w:rFonts w:ascii="Arial" w:hAnsi="Arial"/>
                <w:color w:val="000000"/>
                <w:sz w:val="16"/>
              </w:rPr>
              <w:t>0</w:t>
            </w:r>
          </w:p>
        </w:tc>
        <w:tc>
          <w:tcPr>
            <w:tcW w:w="720" w:type="dxa"/>
            <w:vAlign w:val="center"/>
          </w:tcPr>
          <w:p w14:paraId="4A879F16" w14:textId="77777777" w:rsidR="003B314F" w:rsidRDefault="001764E9">
            <w:pPr>
              <w:spacing w:beforeAutospacing="1" w:afterAutospacing="1"/>
              <w:jc w:val="right"/>
            </w:pPr>
            <w:r>
              <w:rPr>
                <w:rFonts w:ascii="Arial" w:hAnsi="Arial"/>
                <w:color w:val="000000"/>
                <w:sz w:val="16"/>
              </w:rPr>
              <w:t>0</w:t>
            </w:r>
          </w:p>
        </w:tc>
      </w:tr>
      <w:tr w:rsidR="003B314F" w14:paraId="691221E1" w14:textId="77777777">
        <w:trPr>
          <w:cantSplit/>
        </w:trPr>
        <w:tc>
          <w:tcPr>
            <w:tcW w:w="5490" w:type="dxa"/>
            <w:vAlign w:val="center"/>
          </w:tcPr>
          <w:p w14:paraId="1BFC7E54" w14:textId="77777777" w:rsidR="003B314F" w:rsidRDefault="001764E9">
            <w:pPr>
              <w:spacing w:beforeAutospacing="1" w:afterAutospacing="1"/>
            </w:pPr>
            <w:r>
              <w:rPr>
                <w:rFonts w:ascii="Arial" w:hAnsi="Arial"/>
                <w:color w:val="25396E"/>
                <w:sz w:val="16"/>
              </w:rPr>
              <w:t>Total Labor Hours</w:t>
            </w:r>
          </w:p>
        </w:tc>
        <w:tc>
          <w:tcPr>
            <w:tcW w:w="810" w:type="dxa"/>
            <w:vAlign w:val="center"/>
          </w:tcPr>
          <w:p w14:paraId="40871F6D" w14:textId="77777777" w:rsidR="003B314F" w:rsidRDefault="001764E9">
            <w:pPr>
              <w:spacing w:beforeAutospacing="1" w:afterAutospacing="1"/>
              <w:jc w:val="right"/>
            </w:pPr>
            <w:r>
              <w:rPr>
                <w:rFonts w:ascii="Arial" w:hAnsi="Arial"/>
                <w:color w:val="000000"/>
                <w:sz w:val="16"/>
              </w:rPr>
              <w:t>0</w:t>
            </w:r>
          </w:p>
        </w:tc>
        <w:tc>
          <w:tcPr>
            <w:tcW w:w="900" w:type="dxa"/>
            <w:vAlign w:val="center"/>
          </w:tcPr>
          <w:p w14:paraId="1ACD7A4F" w14:textId="77777777" w:rsidR="003B314F" w:rsidRDefault="001764E9">
            <w:pPr>
              <w:spacing w:beforeAutospacing="1" w:afterAutospacing="1"/>
              <w:jc w:val="right"/>
            </w:pPr>
            <w:r>
              <w:rPr>
                <w:rFonts w:ascii="Arial" w:hAnsi="Arial"/>
                <w:color w:val="000000"/>
                <w:sz w:val="16"/>
              </w:rPr>
              <w:t>31,156</w:t>
            </w:r>
          </w:p>
        </w:tc>
        <w:tc>
          <w:tcPr>
            <w:tcW w:w="720" w:type="dxa"/>
            <w:vAlign w:val="center"/>
          </w:tcPr>
          <w:p w14:paraId="57D9D6C7"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5B118554"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4A34DD14" w14:textId="77777777" w:rsidR="003B314F" w:rsidRDefault="001764E9">
            <w:pPr>
              <w:spacing w:beforeAutospacing="1" w:afterAutospacing="1"/>
              <w:jc w:val="right"/>
            </w:pPr>
            <w:r>
              <w:rPr>
                <w:rFonts w:ascii="Arial" w:hAnsi="Arial"/>
                <w:color w:val="000000"/>
                <w:sz w:val="16"/>
              </w:rPr>
              <w:t xml:space="preserve"> </w:t>
            </w:r>
          </w:p>
        </w:tc>
      </w:tr>
      <w:tr w:rsidR="003B314F" w14:paraId="1D88D677" w14:textId="77777777">
        <w:trPr>
          <w:cantSplit/>
        </w:trPr>
        <w:tc>
          <w:tcPr>
            <w:tcW w:w="5490" w:type="dxa"/>
            <w:vAlign w:val="center"/>
          </w:tcPr>
          <w:p w14:paraId="77AA97DE" w14:textId="77777777" w:rsidR="003B314F" w:rsidRDefault="001764E9">
            <w:pPr>
              <w:spacing w:beforeAutospacing="1" w:afterAutospacing="1"/>
            </w:pPr>
            <w:r>
              <w:rPr>
                <w:rFonts w:ascii="Arial" w:hAnsi="Arial"/>
                <w:color w:val="25396E"/>
                <w:sz w:val="16"/>
              </w:rPr>
              <w:t>Total Section 3 Worker Hours</w:t>
            </w:r>
          </w:p>
        </w:tc>
        <w:tc>
          <w:tcPr>
            <w:tcW w:w="810" w:type="dxa"/>
            <w:vAlign w:val="center"/>
          </w:tcPr>
          <w:p w14:paraId="66910566" w14:textId="77777777" w:rsidR="003B314F" w:rsidRDefault="001764E9">
            <w:pPr>
              <w:spacing w:beforeAutospacing="1" w:afterAutospacing="1"/>
              <w:jc w:val="right"/>
            </w:pPr>
            <w:r>
              <w:rPr>
                <w:rFonts w:ascii="Arial" w:hAnsi="Arial"/>
                <w:color w:val="000000"/>
                <w:sz w:val="16"/>
              </w:rPr>
              <w:t>0</w:t>
            </w:r>
          </w:p>
        </w:tc>
        <w:tc>
          <w:tcPr>
            <w:tcW w:w="900" w:type="dxa"/>
            <w:vAlign w:val="center"/>
          </w:tcPr>
          <w:p w14:paraId="64890DAB" w14:textId="77777777" w:rsidR="003B314F" w:rsidRDefault="001764E9">
            <w:pPr>
              <w:spacing w:beforeAutospacing="1" w:afterAutospacing="1"/>
              <w:jc w:val="right"/>
            </w:pPr>
            <w:r>
              <w:rPr>
                <w:rFonts w:ascii="Arial" w:hAnsi="Arial"/>
                <w:color w:val="000000"/>
                <w:sz w:val="16"/>
              </w:rPr>
              <w:t>1,463</w:t>
            </w:r>
          </w:p>
        </w:tc>
        <w:tc>
          <w:tcPr>
            <w:tcW w:w="720" w:type="dxa"/>
            <w:vAlign w:val="center"/>
          </w:tcPr>
          <w:p w14:paraId="78DE3D5F"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00E56711"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7BAFACE5" w14:textId="77777777" w:rsidR="003B314F" w:rsidRDefault="001764E9">
            <w:pPr>
              <w:spacing w:beforeAutospacing="1" w:afterAutospacing="1"/>
              <w:jc w:val="right"/>
            </w:pPr>
            <w:r>
              <w:rPr>
                <w:rFonts w:ascii="Arial" w:hAnsi="Arial"/>
                <w:color w:val="000000"/>
                <w:sz w:val="16"/>
              </w:rPr>
              <w:t xml:space="preserve"> </w:t>
            </w:r>
          </w:p>
        </w:tc>
      </w:tr>
      <w:tr w:rsidR="003B314F" w14:paraId="61EF852C" w14:textId="77777777">
        <w:trPr>
          <w:cantSplit/>
        </w:trPr>
        <w:tc>
          <w:tcPr>
            <w:tcW w:w="5490" w:type="dxa"/>
            <w:vAlign w:val="center"/>
          </w:tcPr>
          <w:p w14:paraId="25984941" w14:textId="77777777" w:rsidR="003B314F" w:rsidRDefault="001764E9">
            <w:pPr>
              <w:spacing w:beforeAutospacing="1" w:afterAutospacing="1"/>
            </w:pPr>
            <w:r>
              <w:rPr>
                <w:rFonts w:ascii="Arial" w:hAnsi="Arial"/>
                <w:color w:val="25396E"/>
                <w:sz w:val="16"/>
              </w:rPr>
              <w:t>Total Targeted Section 3 Worker Hours</w:t>
            </w:r>
          </w:p>
        </w:tc>
        <w:tc>
          <w:tcPr>
            <w:tcW w:w="810" w:type="dxa"/>
            <w:vAlign w:val="center"/>
          </w:tcPr>
          <w:p w14:paraId="5E3F1B07" w14:textId="77777777" w:rsidR="003B314F" w:rsidRDefault="001764E9">
            <w:pPr>
              <w:spacing w:beforeAutospacing="1" w:afterAutospacing="1"/>
              <w:jc w:val="right"/>
            </w:pPr>
            <w:r>
              <w:rPr>
                <w:rFonts w:ascii="Arial" w:hAnsi="Arial"/>
                <w:color w:val="000000"/>
                <w:sz w:val="16"/>
              </w:rPr>
              <w:t>0</w:t>
            </w:r>
          </w:p>
        </w:tc>
        <w:tc>
          <w:tcPr>
            <w:tcW w:w="900" w:type="dxa"/>
            <w:vAlign w:val="center"/>
          </w:tcPr>
          <w:p w14:paraId="35FCC245" w14:textId="77777777" w:rsidR="003B314F" w:rsidRDefault="001764E9">
            <w:pPr>
              <w:spacing w:beforeAutospacing="1" w:afterAutospacing="1"/>
              <w:jc w:val="right"/>
            </w:pPr>
            <w:r>
              <w:rPr>
                <w:rFonts w:ascii="Arial" w:hAnsi="Arial"/>
                <w:color w:val="000000"/>
                <w:sz w:val="16"/>
              </w:rPr>
              <w:t>1,463</w:t>
            </w:r>
          </w:p>
        </w:tc>
        <w:tc>
          <w:tcPr>
            <w:tcW w:w="720" w:type="dxa"/>
            <w:vAlign w:val="center"/>
          </w:tcPr>
          <w:p w14:paraId="3CB5AC08"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20957604"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20DD3964" w14:textId="77777777" w:rsidR="003B314F" w:rsidRDefault="001764E9">
            <w:pPr>
              <w:spacing w:beforeAutospacing="1" w:afterAutospacing="1"/>
              <w:jc w:val="right"/>
            </w:pPr>
            <w:r>
              <w:rPr>
                <w:rFonts w:ascii="Arial" w:hAnsi="Arial"/>
                <w:color w:val="000000"/>
                <w:sz w:val="16"/>
              </w:rPr>
              <w:t xml:space="preserve"> </w:t>
            </w:r>
          </w:p>
        </w:tc>
      </w:tr>
    </w:tbl>
    <w:p w14:paraId="3CD4CCA4" w14:textId="77777777" w:rsidR="003B314F" w:rsidRDefault="001764E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Total Labor Hours</w:t>
      </w:r>
    </w:p>
    <w:p w14:paraId="4ABB7962" w14:textId="77777777" w:rsidR="003B314F" w:rsidRDefault="003B314F" w:rsidP="001764E9">
      <w:pPr>
        <w:widowControl w:val="0"/>
        <w:spacing w:after="0"/>
        <w:rPr>
          <w:b/>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3B314F" w14:paraId="741FEAA3" w14:textId="77777777">
        <w:trPr>
          <w:cantSplit/>
        </w:trPr>
        <w:tc>
          <w:tcPr>
            <w:tcW w:w="5490" w:type="dxa"/>
          </w:tcPr>
          <w:p w14:paraId="152C7B39" w14:textId="77777777" w:rsidR="003B314F" w:rsidRDefault="001764E9">
            <w:pPr>
              <w:keepNext/>
              <w:widowControl w:val="0"/>
              <w:tabs>
                <w:tab w:val="left" w:pos="2070"/>
              </w:tabs>
              <w:spacing w:after="0" w:line="240" w:lineRule="auto"/>
              <w:ind w:right="162"/>
              <w:jc w:val="center"/>
              <w:rPr>
                <w:b/>
              </w:rPr>
            </w:pPr>
            <w:r>
              <w:rPr>
                <w:b/>
              </w:rPr>
              <w:t>Qualitative Efforts - Number of Activities by Program</w:t>
            </w:r>
          </w:p>
        </w:tc>
        <w:tc>
          <w:tcPr>
            <w:tcW w:w="810" w:type="dxa"/>
          </w:tcPr>
          <w:p w14:paraId="667FEC48" w14:textId="77777777" w:rsidR="003B314F" w:rsidRDefault="001764E9">
            <w:pPr>
              <w:keepNext/>
              <w:widowControl w:val="0"/>
              <w:spacing w:after="0" w:line="240" w:lineRule="auto"/>
              <w:jc w:val="center"/>
              <w:rPr>
                <w:b/>
              </w:rPr>
            </w:pPr>
            <w:r>
              <w:rPr>
                <w:b/>
              </w:rPr>
              <w:t>CDBG</w:t>
            </w:r>
          </w:p>
        </w:tc>
        <w:tc>
          <w:tcPr>
            <w:tcW w:w="900" w:type="dxa"/>
          </w:tcPr>
          <w:p w14:paraId="5498774C" w14:textId="77777777" w:rsidR="003B314F" w:rsidRDefault="001764E9">
            <w:pPr>
              <w:keepNext/>
              <w:widowControl w:val="0"/>
              <w:spacing w:after="0" w:line="240" w:lineRule="auto"/>
              <w:jc w:val="center"/>
              <w:rPr>
                <w:b/>
              </w:rPr>
            </w:pPr>
            <w:r>
              <w:rPr>
                <w:b/>
              </w:rPr>
              <w:t>HOME</w:t>
            </w:r>
          </w:p>
        </w:tc>
        <w:tc>
          <w:tcPr>
            <w:tcW w:w="720" w:type="dxa"/>
          </w:tcPr>
          <w:p w14:paraId="78258316" w14:textId="77777777" w:rsidR="003B314F" w:rsidRDefault="001764E9">
            <w:pPr>
              <w:keepNext/>
              <w:widowControl w:val="0"/>
              <w:spacing w:after="0" w:line="240" w:lineRule="auto"/>
              <w:rPr>
                <w:b/>
              </w:rPr>
            </w:pPr>
            <w:r>
              <w:rPr>
                <w:b/>
              </w:rPr>
              <w:t>ESG</w:t>
            </w:r>
          </w:p>
        </w:tc>
        <w:tc>
          <w:tcPr>
            <w:tcW w:w="990" w:type="dxa"/>
          </w:tcPr>
          <w:p w14:paraId="5222D316" w14:textId="77777777" w:rsidR="003B314F" w:rsidRDefault="001764E9">
            <w:pPr>
              <w:keepNext/>
              <w:widowControl w:val="0"/>
              <w:spacing w:after="0" w:line="240" w:lineRule="auto"/>
              <w:jc w:val="center"/>
              <w:rPr>
                <w:b/>
              </w:rPr>
            </w:pPr>
            <w:r>
              <w:rPr>
                <w:b/>
              </w:rPr>
              <w:t>HOPWA</w:t>
            </w:r>
          </w:p>
        </w:tc>
        <w:tc>
          <w:tcPr>
            <w:tcW w:w="720" w:type="dxa"/>
          </w:tcPr>
          <w:p w14:paraId="1D08C2A5" w14:textId="77777777" w:rsidR="003B314F" w:rsidRDefault="001764E9">
            <w:pPr>
              <w:keepNext/>
              <w:widowControl w:val="0"/>
              <w:spacing w:after="0" w:line="240" w:lineRule="auto"/>
              <w:jc w:val="center"/>
              <w:rPr>
                <w:b/>
              </w:rPr>
            </w:pPr>
            <w:r>
              <w:rPr>
                <w:b/>
              </w:rPr>
              <w:t>HTF</w:t>
            </w:r>
          </w:p>
        </w:tc>
      </w:tr>
      <w:tr w:rsidR="003B314F" w14:paraId="75863C99" w14:textId="77777777">
        <w:trPr>
          <w:cantSplit/>
        </w:trPr>
        <w:tc>
          <w:tcPr>
            <w:tcW w:w="5490" w:type="dxa"/>
            <w:vAlign w:val="center"/>
          </w:tcPr>
          <w:p w14:paraId="07795FFC" w14:textId="77777777" w:rsidR="003B314F" w:rsidRDefault="001764E9">
            <w:pPr>
              <w:spacing w:beforeAutospacing="1" w:afterAutospacing="1"/>
            </w:pPr>
            <w:r>
              <w:rPr>
                <w:rFonts w:ascii="Arial" w:hAnsi="Arial"/>
                <w:color w:val="25396E"/>
                <w:sz w:val="16"/>
              </w:rPr>
              <w:t>Outreach efforts to generate job applicants who are Public Housing Targeted Workers</w:t>
            </w:r>
          </w:p>
        </w:tc>
        <w:tc>
          <w:tcPr>
            <w:tcW w:w="810" w:type="dxa"/>
            <w:vAlign w:val="center"/>
          </w:tcPr>
          <w:p w14:paraId="56640842"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569DB147"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7AA6E0CF"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6F0B543E"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20ABAFDC" w14:textId="77777777" w:rsidR="003B314F" w:rsidRDefault="001764E9">
            <w:pPr>
              <w:spacing w:beforeAutospacing="1" w:afterAutospacing="1"/>
              <w:jc w:val="right"/>
            </w:pPr>
            <w:r>
              <w:rPr>
                <w:rFonts w:ascii="Arial" w:hAnsi="Arial"/>
                <w:color w:val="000000"/>
                <w:sz w:val="16"/>
              </w:rPr>
              <w:t xml:space="preserve"> </w:t>
            </w:r>
          </w:p>
        </w:tc>
      </w:tr>
      <w:tr w:rsidR="003B314F" w14:paraId="0221B5D7" w14:textId="77777777">
        <w:trPr>
          <w:cantSplit/>
        </w:trPr>
        <w:tc>
          <w:tcPr>
            <w:tcW w:w="5490" w:type="dxa"/>
            <w:vAlign w:val="center"/>
          </w:tcPr>
          <w:p w14:paraId="39CFA3D5" w14:textId="77777777" w:rsidR="003B314F" w:rsidRDefault="001764E9">
            <w:pPr>
              <w:spacing w:beforeAutospacing="1" w:afterAutospacing="1"/>
            </w:pPr>
            <w:r>
              <w:rPr>
                <w:rFonts w:ascii="Arial" w:hAnsi="Arial"/>
                <w:color w:val="25396E"/>
                <w:sz w:val="16"/>
              </w:rPr>
              <w:t>Outreach efforts to generate job applicants who are Other Funding Targeted Workers.</w:t>
            </w:r>
          </w:p>
        </w:tc>
        <w:tc>
          <w:tcPr>
            <w:tcW w:w="810" w:type="dxa"/>
            <w:vAlign w:val="center"/>
          </w:tcPr>
          <w:p w14:paraId="6DCCEBBB"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697C5E77" w14:textId="77777777" w:rsidR="003B314F" w:rsidRDefault="001764E9">
            <w:pPr>
              <w:spacing w:beforeAutospacing="1" w:afterAutospacing="1"/>
              <w:jc w:val="right"/>
            </w:pPr>
            <w:r>
              <w:rPr>
                <w:rFonts w:ascii="Arial" w:hAnsi="Arial"/>
                <w:color w:val="000000"/>
                <w:sz w:val="16"/>
              </w:rPr>
              <w:t>1</w:t>
            </w:r>
          </w:p>
        </w:tc>
        <w:tc>
          <w:tcPr>
            <w:tcW w:w="720" w:type="dxa"/>
            <w:vAlign w:val="center"/>
          </w:tcPr>
          <w:p w14:paraId="6340ED0B"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4CD2BBD3"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4B7C7F05" w14:textId="77777777" w:rsidR="003B314F" w:rsidRDefault="001764E9">
            <w:pPr>
              <w:spacing w:beforeAutospacing="1" w:afterAutospacing="1"/>
              <w:jc w:val="right"/>
            </w:pPr>
            <w:r>
              <w:rPr>
                <w:rFonts w:ascii="Arial" w:hAnsi="Arial"/>
                <w:color w:val="000000"/>
                <w:sz w:val="16"/>
              </w:rPr>
              <w:t xml:space="preserve"> </w:t>
            </w:r>
          </w:p>
        </w:tc>
      </w:tr>
      <w:tr w:rsidR="003B314F" w14:paraId="5E82B75B" w14:textId="77777777">
        <w:trPr>
          <w:cantSplit/>
        </w:trPr>
        <w:tc>
          <w:tcPr>
            <w:tcW w:w="5490" w:type="dxa"/>
            <w:vAlign w:val="center"/>
          </w:tcPr>
          <w:p w14:paraId="6249B678" w14:textId="77777777" w:rsidR="003B314F" w:rsidRDefault="001764E9">
            <w:pPr>
              <w:spacing w:beforeAutospacing="1" w:afterAutospacing="1"/>
            </w:pPr>
            <w:r>
              <w:rPr>
                <w:rFonts w:ascii="Arial" w:hAnsi="Arial"/>
                <w:color w:val="25396E"/>
                <w:sz w:val="16"/>
              </w:rPr>
              <w:t>Direct, on-the job training (including apprenticeships).</w:t>
            </w:r>
          </w:p>
        </w:tc>
        <w:tc>
          <w:tcPr>
            <w:tcW w:w="810" w:type="dxa"/>
            <w:vAlign w:val="center"/>
          </w:tcPr>
          <w:p w14:paraId="40EA10BB"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6E90BF6E" w14:textId="77777777" w:rsidR="003B314F" w:rsidRDefault="001764E9">
            <w:pPr>
              <w:spacing w:beforeAutospacing="1" w:afterAutospacing="1"/>
              <w:jc w:val="right"/>
            </w:pPr>
            <w:r>
              <w:rPr>
                <w:rFonts w:ascii="Arial" w:hAnsi="Arial"/>
                <w:color w:val="000000"/>
                <w:sz w:val="16"/>
              </w:rPr>
              <w:t>1</w:t>
            </w:r>
          </w:p>
        </w:tc>
        <w:tc>
          <w:tcPr>
            <w:tcW w:w="720" w:type="dxa"/>
            <w:vAlign w:val="center"/>
          </w:tcPr>
          <w:p w14:paraId="420CD593"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016A3090"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61D5B4B7" w14:textId="77777777" w:rsidR="003B314F" w:rsidRDefault="001764E9">
            <w:pPr>
              <w:spacing w:beforeAutospacing="1" w:afterAutospacing="1"/>
              <w:jc w:val="right"/>
            </w:pPr>
            <w:r>
              <w:rPr>
                <w:rFonts w:ascii="Arial" w:hAnsi="Arial"/>
                <w:color w:val="000000"/>
                <w:sz w:val="16"/>
              </w:rPr>
              <w:t xml:space="preserve"> </w:t>
            </w:r>
          </w:p>
        </w:tc>
      </w:tr>
      <w:tr w:rsidR="003B314F" w14:paraId="4C48B441" w14:textId="77777777">
        <w:trPr>
          <w:cantSplit/>
        </w:trPr>
        <w:tc>
          <w:tcPr>
            <w:tcW w:w="5490" w:type="dxa"/>
            <w:vAlign w:val="center"/>
          </w:tcPr>
          <w:p w14:paraId="57C1126C" w14:textId="77777777" w:rsidR="003B314F" w:rsidRDefault="001764E9">
            <w:pPr>
              <w:spacing w:beforeAutospacing="1" w:afterAutospacing="1"/>
            </w:pPr>
            <w:r>
              <w:rPr>
                <w:rFonts w:ascii="Arial" w:hAnsi="Arial"/>
                <w:color w:val="25396E"/>
                <w:sz w:val="16"/>
              </w:rPr>
              <w:t>Indirect training such as arranging for, contracting for, or paying tuition for, off-site training.</w:t>
            </w:r>
          </w:p>
        </w:tc>
        <w:tc>
          <w:tcPr>
            <w:tcW w:w="810" w:type="dxa"/>
            <w:vAlign w:val="center"/>
          </w:tcPr>
          <w:p w14:paraId="24EC9672"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23546BC2" w14:textId="77777777" w:rsidR="003B314F" w:rsidRDefault="001764E9">
            <w:pPr>
              <w:spacing w:beforeAutospacing="1" w:afterAutospacing="1"/>
              <w:jc w:val="right"/>
            </w:pPr>
            <w:r>
              <w:rPr>
                <w:rFonts w:ascii="Arial" w:hAnsi="Arial"/>
                <w:color w:val="000000"/>
                <w:sz w:val="16"/>
              </w:rPr>
              <w:t>1</w:t>
            </w:r>
          </w:p>
        </w:tc>
        <w:tc>
          <w:tcPr>
            <w:tcW w:w="720" w:type="dxa"/>
            <w:vAlign w:val="center"/>
          </w:tcPr>
          <w:p w14:paraId="78B6AADE"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12C60C19"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52CAE1E3" w14:textId="77777777" w:rsidR="003B314F" w:rsidRDefault="001764E9">
            <w:pPr>
              <w:spacing w:beforeAutospacing="1" w:afterAutospacing="1"/>
              <w:jc w:val="right"/>
            </w:pPr>
            <w:r>
              <w:rPr>
                <w:rFonts w:ascii="Arial" w:hAnsi="Arial"/>
                <w:color w:val="000000"/>
                <w:sz w:val="16"/>
              </w:rPr>
              <w:t xml:space="preserve"> </w:t>
            </w:r>
          </w:p>
        </w:tc>
      </w:tr>
      <w:tr w:rsidR="003B314F" w14:paraId="4DEF284F" w14:textId="77777777">
        <w:trPr>
          <w:cantSplit/>
        </w:trPr>
        <w:tc>
          <w:tcPr>
            <w:tcW w:w="5490" w:type="dxa"/>
            <w:vAlign w:val="center"/>
          </w:tcPr>
          <w:p w14:paraId="1C3805F2" w14:textId="77777777" w:rsidR="003B314F" w:rsidRDefault="001764E9">
            <w:pPr>
              <w:spacing w:beforeAutospacing="1" w:afterAutospacing="1"/>
            </w:pPr>
            <w:r>
              <w:rPr>
                <w:rFonts w:ascii="Arial" w:hAnsi="Arial"/>
                <w:color w:val="25396E"/>
                <w:sz w:val="16"/>
              </w:rPr>
              <w:t>Technical assistance to help Section 3 workers compete for jobs (e.g., resume assistance, coaching).</w:t>
            </w:r>
          </w:p>
        </w:tc>
        <w:tc>
          <w:tcPr>
            <w:tcW w:w="810" w:type="dxa"/>
            <w:vAlign w:val="center"/>
          </w:tcPr>
          <w:p w14:paraId="2C48D0B5"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007B87A6" w14:textId="77777777" w:rsidR="003B314F" w:rsidRDefault="001764E9">
            <w:pPr>
              <w:spacing w:beforeAutospacing="1" w:afterAutospacing="1"/>
              <w:jc w:val="right"/>
            </w:pPr>
            <w:r>
              <w:rPr>
                <w:rFonts w:ascii="Arial" w:hAnsi="Arial"/>
                <w:color w:val="000000"/>
                <w:sz w:val="16"/>
              </w:rPr>
              <w:t>1</w:t>
            </w:r>
          </w:p>
        </w:tc>
        <w:tc>
          <w:tcPr>
            <w:tcW w:w="720" w:type="dxa"/>
            <w:vAlign w:val="center"/>
          </w:tcPr>
          <w:p w14:paraId="1E0FA141"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58AA0C0F"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0E9D91CD" w14:textId="77777777" w:rsidR="003B314F" w:rsidRDefault="001764E9">
            <w:pPr>
              <w:spacing w:beforeAutospacing="1" w:afterAutospacing="1"/>
              <w:jc w:val="right"/>
            </w:pPr>
            <w:r>
              <w:rPr>
                <w:rFonts w:ascii="Arial" w:hAnsi="Arial"/>
                <w:color w:val="000000"/>
                <w:sz w:val="16"/>
              </w:rPr>
              <w:t xml:space="preserve"> </w:t>
            </w:r>
          </w:p>
        </w:tc>
      </w:tr>
      <w:tr w:rsidR="003B314F" w14:paraId="148F5E51" w14:textId="77777777">
        <w:trPr>
          <w:cantSplit/>
        </w:trPr>
        <w:tc>
          <w:tcPr>
            <w:tcW w:w="5490" w:type="dxa"/>
            <w:vAlign w:val="center"/>
          </w:tcPr>
          <w:p w14:paraId="6AEA396F" w14:textId="77777777" w:rsidR="003B314F" w:rsidRDefault="001764E9">
            <w:pPr>
              <w:spacing w:beforeAutospacing="1" w:afterAutospacing="1"/>
            </w:pPr>
            <w:r>
              <w:rPr>
                <w:rFonts w:ascii="Arial" w:hAnsi="Arial"/>
                <w:color w:val="25396E"/>
                <w:sz w:val="16"/>
              </w:rPr>
              <w:t>Outreach efforts to identify and secure bids from Section 3 business concerns.</w:t>
            </w:r>
          </w:p>
        </w:tc>
        <w:tc>
          <w:tcPr>
            <w:tcW w:w="810" w:type="dxa"/>
            <w:vAlign w:val="center"/>
          </w:tcPr>
          <w:p w14:paraId="36AA5641"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3FBBCA10"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2243A879"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18A2E993"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3CE7680C" w14:textId="77777777" w:rsidR="003B314F" w:rsidRDefault="001764E9">
            <w:pPr>
              <w:spacing w:beforeAutospacing="1" w:afterAutospacing="1"/>
              <w:jc w:val="right"/>
            </w:pPr>
            <w:r>
              <w:rPr>
                <w:rFonts w:ascii="Arial" w:hAnsi="Arial"/>
                <w:color w:val="000000"/>
                <w:sz w:val="16"/>
              </w:rPr>
              <w:t xml:space="preserve"> </w:t>
            </w:r>
          </w:p>
        </w:tc>
      </w:tr>
      <w:tr w:rsidR="003B314F" w14:paraId="683AC0E4" w14:textId="77777777">
        <w:trPr>
          <w:cantSplit/>
        </w:trPr>
        <w:tc>
          <w:tcPr>
            <w:tcW w:w="5490" w:type="dxa"/>
            <w:vAlign w:val="center"/>
          </w:tcPr>
          <w:p w14:paraId="5B22079D" w14:textId="77777777" w:rsidR="003B314F" w:rsidRDefault="001764E9">
            <w:pPr>
              <w:spacing w:beforeAutospacing="1" w:afterAutospacing="1"/>
            </w:pPr>
            <w:r>
              <w:rPr>
                <w:rFonts w:ascii="Arial" w:hAnsi="Arial"/>
                <w:color w:val="25396E"/>
                <w:sz w:val="16"/>
              </w:rPr>
              <w:t>Technical assistance to help Section 3 business concerns understand and bid on contracts.</w:t>
            </w:r>
          </w:p>
        </w:tc>
        <w:tc>
          <w:tcPr>
            <w:tcW w:w="810" w:type="dxa"/>
            <w:vAlign w:val="center"/>
          </w:tcPr>
          <w:p w14:paraId="438B0919"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47E8CF9C"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4971711B"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200D060E"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2EAE1A7C" w14:textId="77777777" w:rsidR="003B314F" w:rsidRDefault="001764E9">
            <w:pPr>
              <w:spacing w:beforeAutospacing="1" w:afterAutospacing="1"/>
              <w:jc w:val="right"/>
            </w:pPr>
            <w:r>
              <w:rPr>
                <w:rFonts w:ascii="Arial" w:hAnsi="Arial"/>
                <w:color w:val="000000"/>
                <w:sz w:val="16"/>
              </w:rPr>
              <w:t xml:space="preserve"> </w:t>
            </w:r>
          </w:p>
        </w:tc>
      </w:tr>
      <w:tr w:rsidR="003B314F" w14:paraId="2ED18F11" w14:textId="77777777">
        <w:trPr>
          <w:cantSplit/>
        </w:trPr>
        <w:tc>
          <w:tcPr>
            <w:tcW w:w="5490" w:type="dxa"/>
            <w:vAlign w:val="center"/>
          </w:tcPr>
          <w:p w14:paraId="3106CD5C" w14:textId="77777777" w:rsidR="003B314F" w:rsidRDefault="001764E9">
            <w:pPr>
              <w:spacing w:beforeAutospacing="1" w:afterAutospacing="1"/>
            </w:pPr>
            <w:r>
              <w:rPr>
                <w:rFonts w:ascii="Arial" w:hAnsi="Arial"/>
                <w:color w:val="25396E"/>
                <w:sz w:val="16"/>
              </w:rPr>
              <w:t>Division of contracts into smaller jobs to facilitate participation by Section 3 business concerns.</w:t>
            </w:r>
          </w:p>
        </w:tc>
        <w:tc>
          <w:tcPr>
            <w:tcW w:w="810" w:type="dxa"/>
            <w:vAlign w:val="center"/>
          </w:tcPr>
          <w:p w14:paraId="6D0116CA"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5DD43173"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307A0289"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53C021FA"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0CE4565B" w14:textId="77777777" w:rsidR="003B314F" w:rsidRDefault="001764E9">
            <w:pPr>
              <w:spacing w:beforeAutospacing="1" w:afterAutospacing="1"/>
              <w:jc w:val="right"/>
            </w:pPr>
            <w:r>
              <w:rPr>
                <w:rFonts w:ascii="Arial" w:hAnsi="Arial"/>
                <w:color w:val="000000"/>
                <w:sz w:val="16"/>
              </w:rPr>
              <w:t xml:space="preserve"> </w:t>
            </w:r>
          </w:p>
        </w:tc>
      </w:tr>
      <w:tr w:rsidR="003B314F" w14:paraId="2C023421" w14:textId="77777777">
        <w:trPr>
          <w:cantSplit/>
        </w:trPr>
        <w:tc>
          <w:tcPr>
            <w:tcW w:w="5490" w:type="dxa"/>
            <w:vAlign w:val="center"/>
          </w:tcPr>
          <w:p w14:paraId="386A46E2" w14:textId="77777777" w:rsidR="003B314F" w:rsidRDefault="001764E9">
            <w:pPr>
              <w:spacing w:beforeAutospacing="1" w:afterAutospacing="1"/>
            </w:pPr>
            <w:r>
              <w:rPr>
                <w:rFonts w:ascii="Arial" w:hAnsi="Arial"/>
                <w:color w:val="25396E"/>
                <w:sz w:val="16"/>
              </w:rPr>
              <w:t xml:space="preserve">Provided or connected residents with assistance in seeking employment </w:t>
            </w:r>
            <w:proofErr w:type="gramStart"/>
            <w:r>
              <w:rPr>
                <w:rFonts w:ascii="Arial" w:hAnsi="Arial"/>
                <w:color w:val="25396E"/>
                <w:sz w:val="16"/>
              </w:rPr>
              <w:t>including:</w:t>
            </w:r>
            <w:proofErr w:type="gramEnd"/>
            <w:r>
              <w:rPr>
                <w:rFonts w:ascii="Arial" w:hAnsi="Arial"/>
                <w:color w:val="25396E"/>
                <w:sz w:val="16"/>
              </w:rPr>
              <w:t xml:space="preserve"> drafting </w:t>
            </w:r>
            <w:proofErr w:type="spellStart"/>
            <w:proofErr w:type="gramStart"/>
            <w:r>
              <w:rPr>
                <w:rFonts w:ascii="Arial" w:hAnsi="Arial"/>
                <w:color w:val="25396E"/>
                <w:sz w:val="16"/>
              </w:rPr>
              <w:t>resumes,preparing</w:t>
            </w:r>
            <w:proofErr w:type="spellEnd"/>
            <w:proofErr w:type="gramEnd"/>
            <w:r>
              <w:rPr>
                <w:rFonts w:ascii="Arial" w:hAnsi="Arial"/>
                <w:color w:val="25396E"/>
                <w:sz w:val="16"/>
              </w:rPr>
              <w:t xml:space="preserve"> for interviews, finding job opportunities</w:t>
            </w:r>
            <w:proofErr w:type="gramStart"/>
            <w:r>
              <w:rPr>
                <w:rFonts w:ascii="Arial" w:hAnsi="Arial"/>
                <w:color w:val="25396E"/>
                <w:sz w:val="16"/>
              </w:rPr>
              <w:t>, connecting</w:t>
            </w:r>
            <w:proofErr w:type="gramEnd"/>
            <w:r>
              <w:rPr>
                <w:rFonts w:ascii="Arial" w:hAnsi="Arial"/>
                <w:color w:val="25396E"/>
                <w:sz w:val="16"/>
              </w:rPr>
              <w:t xml:space="preserve"> residents to job placement services.</w:t>
            </w:r>
          </w:p>
        </w:tc>
        <w:tc>
          <w:tcPr>
            <w:tcW w:w="810" w:type="dxa"/>
            <w:vAlign w:val="center"/>
          </w:tcPr>
          <w:p w14:paraId="602E1F6C"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64784B79"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75F4479B"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376BFFAB"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453C0E6D" w14:textId="77777777" w:rsidR="003B314F" w:rsidRDefault="001764E9">
            <w:pPr>
              <w:spacing w:beforeAutospacing="1" w:afterAutospacing="1"/>
              <w:jc w:val="right"/>
            </w:pPr>
            <w:r>
              <w:rPr>
                <w:rFonts w:ascii="Arial" w:hAnsi="Arial"/>
                <w:color w:val="000000"/>
                <w:sz w:val="16"/>
              </w:rPr>
              <w:t xml:space="preserve"> </w:t>
            </w:r>
          </w:p>
        </w:tc>
      </w:tr>
      <w:tr w:rsidR="003B314F" w14:paraId="0036E908" w14:textId="77777777">
        <w:trPr>
          <w:cantSplit/>
        </w:trPr>
        <w:tc>
          <w:tcPr>
            <w:tcW w:w="5490" w:type="dxa"/>
            <w:vAlign w:val="center"/>
          </w:tcPr>
          <w:p w14:paraId="6B96A93B" w14:textId="77777777" w:rsidR="003B314F" w:rsidRDefault="001764E9">
            <w:pPr>
              <w:spacing w:beforeAutospacing="1" w:afterAutospacing="1"/>
            </w:pPr>
            <w:r>
              <w:rPr>
                <w:rFonts w:ascii="Arial" w:hAnsi="Arial"/>
                <w:color w:val="25396E"/>
                <w:sz w:val="16"/>
              </w:rPr>
              <w:t>Held one or more job fairs.</w:t>
            </w:r>
          </w:p>
        </w:tc>
        <w:tc>
          <w:tcPr>
            <w:tcW w:w="810" w:type="dxa"/>
            <w:vAlign w:val="center"/>
          </w:tcPr>
          <w:p w14:paraId="0DE73512"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79EBB818" w14:textId="77777777" w:rsidR="003B314F" w:rsidRDefault="001764E9">
            <w:pPr>
              <w:spacing w:beforeAutospacing="1" w:afterAutospacing="1"/>
              <w:jc w:val="right"/>
            </w:pPr>
            <w:r>
              <w:rPr>
                <w:rFonts w:ascii="Arial" w:hAnsi="Arial"/>
                <w:color w:val="000000"/>
                <w:sz w:val="16"/>
              </w:rPr>
              <w:t>1</w:t>
            </w:r>
          </w:p>
        </w:tc>
        <w:tc>
          <w:tcPr>
            <w:tcW w:w="720" w:type="dxa"/>
            <w:vAlign w:val="center"/>
          </w:tcPr>
          <w:p w14:paraId="630278A3"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70DAF23C"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1A8BCCA7" w14:textId="77777777" w:rsidR="003B314F" w:rsidRDefault="001764E9">
            <w:pPr>
              <w:spacing w:beforeAutospacing="1" w:afterAutospacing="1"/>
              <w:jc w:val="right"/>
            </w:pPr>
            <w:r>
              <w:rPr>
                <w:rFonts w:ascii="Arial" w:hAnsi="Arial"/>
                <w:color w:val="000000"/>
                <w:sz w:val="16"/>
              </w:rPr>
              <w:t xml:space="preserve"> </w:t>
            </w:r>
          </w:p>
        </w:tc>
      </w:tr>
      <w:tr w:rsidR="003B314F" w14:paraId="2614E8E9" w14:textId="77777777">
        <w:trPr>
          <w:cantSplit/>
        </w:trPr>
        <w:tc>
          <w:tcPr>
            <w:tcW w:w="5490" w:type="dxa"/>
            <w:vAlign w:val="center"/>
          </w:tcPr>
          <w:p w14:paraId="55967A86" w14:textId="77777777" w:rsidR="003B314F" w:rsidRDefault="001764E9">
            <w:pPr>
              <w:spacing w:beforeAutospacing="1" w:afterAutospacing="1"/>
            </w:pPr>
            <w:r>
              <w:rPr>
                <w:rFonts w:ascii="Arial" w:hAnsi="Arial"/>
                <w:color w:val="25396E"/>
                <w:sz w:val="16"/>
              </w:rPr>
              <w:t>Provided or connected residents with supportive services that can provide direct services or referrals.</w:t>
            </w:r>
          </w:p>
        </w:tc>
        <w:tc>
          <w:tcPr>
            <w:tcW w:w="810" w:type="dxa"/>
            <w:vAlign w:val="center"/>
          </w:tcPr>
          <w:p w14:paraId="08E73D60"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2A2A53CF" w14:textId="77777777" w:rsidR="003B314F" w:rsidRDefault="001764E9">
            <w:pPr>
              <w:spacing w:beforeAutospacing="1" w:afterAutospacing="1"/>
              <w:jc w:val="right"/>
            </w:pPr>
            <w:r>
              <w:rPr>
                <w:rFonts w:ascii="Arial" w:hAnsi="Arial"/>
                <w:color w:val="000000"/>
                <w:sz w:val="16"/>
              </w:rPr>
              <w:t>2</w:t>
            </w:r>
          </w:p>
        </w:tc>
        <w:tc>
          <w:tcPr>
            <w:tcW w:w="720" w:type="dxa"/>
            <w:vAlign w:val="center"/>
          </w:tcPr>
          <w:p w14:paraId="34DDEE10"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4102A8B0"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1E0E4FB7" w14:textId="77777777" w:rsidR="003B314F" w:rsidRDefault="001764E9">
            <w:pPr>
              <w:spacing w:beforeAutospacing="1" w:afterAutospacing="1"/>
              <w:jc w:val="right"/>
            </w:pPr>
            <w:r>
              <w:rPr>
                <w:rFonts w:ascii="Arial" w:hAnsi="Arial"/>
                <w:color w:val="000000"/>
                <w:sz w:val="16"/>
              </w:rPr>
              <w:t xml:space="preserve"> </w:t>
            </w:r>
          </w:p>
        </w:tc>
      </w:tr>
      <w:tr w:rsidR="003B314F" w14:paraId="3C024BDA" w14:textId="77777777">
        <w:trPr>
          <w:cantSplit/>
        </w:trPr>
        <w:tc>
          <w:tcPr>
            <w:tcW w:w="5490" w:type="dxa"/>
            <w:vAlign w:val="center"/>
          </w:tcPr>
          <w:p w14:paraId="0B380CC9" w14:textId="77777777" w:rsidR="003B314F" w:rsidRDefault="001764E9">
            <w:pPr>
              <w:spacing w:beforeAutospacing="1" w:afterAutospacing="1"/>
            </w:pPr>
            <w:r>
              <w:rPr>
                <w:rFonts w:ascii="Arial" w:hAnsi="Arial"/>
                <w:color w:val="25396E"/>
                <w:sz w:val="16"/>
              </w:rPr>
              <w:t>Provided or connected residents with supportive services that provide one or more of the following: work readiness health screenings, interview clothing, uniforms, test fees, transportation.</w:t>
            </w:r>
          </w:p>
        </w:tc>
        <w:tc>
          <w:tcPr>
            <w:tcW w:w="810" w:type="dxa"/>
            <w:vAlign w:val="center"/>
          </w:tcPr>
          <w:p w14:paraId="004F4235"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7BAB8DCB" w14:textId="77777777" w:rsidR="003B314F" w:rsidRDefault="001764E9">
            <w:pPr>
              <w:spacing w:beforeAutospacing="1" w:afterAutospacing="1"/>
              <w:jc w:val="right"/>
            </w:pPr>
            <w:r>
              <w:rPr>
                <w:rFonts w:ascii="Arial" w:hAnsi="Arial"/>
                <w:color w:val="000000"/>
                <w:sz w:val="16"/>
              </w:rPr>
              <w:t>2</w:t>
            </w:r>
          </w:p>
        </w:tc>
        <w:tc>
          <w:tcPr>
            <w:tcW w:w="720" w:type="dxa"/>
            <w:vAlign w:val="center"/>
          </w:tcPr>
          <w:p w14:paraId="7F6B9AD5"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5E1FCFCB"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057386AD" w14:textId="77777777" w:rsidR="003B314F" w:rsidRDefault="001764E9">
            <w:pPr>
              <w:spacing w:beforeAutospacing="1" w:afterAutospacing="1"/>
              <w:jc w:val="right"/>
            </w:pPr>
            <w:r>
              <w:rPr>
                <w:rFonts w:ascii="Arial" w:hAnsi="Arial"/>
                <w:color w:val="000000"/>
                <w:sz w:val="16"/>
              </w:rPr>
              <w:t xml:space="preserve"> </w:t>
            </w:r>
          </w:p>
        </w:tc>
      </w:tr>
      <w:tr w:rsidR="003B314F" w14:paraId="4718FCB2" w14:textId="77777777">
        <w:trPr>
          <w:cantSplit/>
        </w:trPr>
        <w:tc>
          <w:tcPr>
            <w:tcW w:w="5490" w:type="dxa"/>
            <w:vAlign w:val="center"/>
          </w:tcPr>
          <w:p w14:paraId="3F24BC18" w14:textId="77777777" w:rsidR="003B314F" w:rsidRDefault="001764E9">
            <w:pPr>
              <w:spacing w:beforeAutospacing="1" w:afterAutospacing="1"/>
            </w:pPr>
            <w:r>
              <w:rPr>
                <w:rFonts w:ascii="Arial" w:hAnsi="Arial"/>
                <w:color w:val="25396E"/>
                <w:sz w:val="16"/>
              </w:rPr>
              <w:t xml:space="preserve">Assisted residents with finding </w:t>
            </w:r>
            <w:proofErr w:type="gramStart"/>
            <w:r>
              <w:rPr>
                <w:rFonts w:ascii="Arial" w:hAnsi="Arial"/>
                <w:color w:val="25396E"/>
                <w:sz w:val="16"/>
              </w:rPr>
              <w:t>child care</w:t>
            </w:r>
            <w:proofErr w:type="gramEnd"/>
            <w:r>
              <w:rPr>
                <w:rFonts w:ascii="Arial" w:hAnsi="Arial"/>
                <w:color w:val="25396E"/>
                <w:sz w:val="16"/>
              </w:rPr>
              <w:t>.</w:t>
            </w:r>
          </w:p>
        </w:tc>
        <w:tc>
          <w:tcPr>
            <w:tcW w:w="810" w:type="dxa"/>
            <w:vAlign w:val="center"/>
          </w:tcPr>
          <w:p w14:paraId="7F50ACA5"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54FC4487"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6CDDE25B"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1741ABCE"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4D68C34B" w14:textId="77777777" w:rsidR="003B314F" w:rsidRDefault="001764E9">
            <w:pPr>
              <w:spacing w:beforeAutospacing="1" w:afterAutospacing="1"/>
              <w:jc w:val="right"/>
            </w:pPr>
            <w:r>
              <w:rPr>
                <w:rFonts w:ascii="Arial" w:hAnsi="Arial"/>
                <w:color w:val="000000"/>
                <w:sz w:val="16"/>
              </w:rPr>
              <w:t xml:space="preserve"> </w:t>
            </w:r>
          </w:p>
        </w:tc>
      </w:tr>
      <w:tr w:rsidR="003B314F" w14:paraId="7AF20AFE" w14:textId="77777777">
        <w:trPr>
          <w:cantSplit/>
        </w:trPr>
        <w:tc>
          <w:tcPr>
            <w:tcW w:w="5490" w:type="dxa"/>
            <w:vAlign w:val="center"/>
          </w:tcPr>
          <w:p w14:paraId="24A31A73" w14:textId="77777777" w:rsidR="003B314F" w:rsidRDefault="001764E9">
            <w:pPr>
              <w:spacing w:beforeAutospacing="1" w:afterAutospacing="1"/>
            </w:pPr>
            <w:r>
              <w:rPr>
                <w:rFonts w:ascii="Arial" w:hAnsi="Arial"/>
                <w:color w:val="25396E"/>
                <w:sz w:val="16"/>
              </w:rPr>
              <w:t xml:space="preserve">Assisted residents to apply </w:t>
            </w:r>
            <w:proofErr w:type="gramStart"/>
            <w:r>
              <w:rPr>
                <w:rFonts w:ascii="Arial" w:hAnsi="Arial"/>
                <w:color w:val="25396E"/>
                <w:sz w:val="16"/>
              </w:rPr>
              <w:t>for, or</w:t>
            </w:r>
            <w:proofErr w:type="gramEnd"/>
            <w:r>
              <w:rPr>
                <w:rFonts w:ascii="Arial" w:hAnsi="Arial"/>
                <w:color w:val="25396E"/>
                <w:sz w:val="16"/>
              </w:rPr>
              <w:t xml:space="preserve"> attend community college or a </w:t>
            </w:r>
            <w:proofErr w:type="gramStart"/>
            <w:r>
              <w:rPr>
                <w:rFonts w:ascii="Arial" w:hAnsi="Arial"/>
                <w:color w:val="25396E"/>
                <w:sz w:val="16"/>
              </w:rPr>
              <w:t>four year</w:t>
            </w:r>
            <w:proofErr w:type="gramEnd"/>
            <w:r>
              <w:rPr>
                <w:rFonts w:ascii="Arial" w:hAnsi="Arial"/>
                <w:color w:val="25396E"/>
                <w:sz w:val="16"/>
              </w:rPr>
              <w:t xml:space="preserve"> educational institution.</w:t>
            </w:r>
          </w:p>
        </w:tc>
        <w:tc>
          <w:tcPr>
            <w:tcW w:w="810" w:type="dxa"/>
            <w:vAlign w:val="center"/>
          </w:tcPr>
          <w:p w14:paraId="203A62D4"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7AEE2991"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1DBD959E"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0D217E48"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58F64641" w14:textId="77777777" w:rsidR="003B314F" w:rsidRDefault="001764E9">
            <w:pPr>
              <w:spacing w:beforeAutospacing="1" w:afterAutospacing="1"/>
              <w:jc w:val="right"/>
            </w:pPr>
            <w:r>
              <w:rPr>
                <w:rFonts w:ascii="Arial" w:hAnsi="Arial"/>
                <w:color w:val="000000"/>
                <w:sz w:val="16"/>
              </w:rPr>
              <w:t xml:space="preserve"> </w:t>
            </w:r>
          </w:p>
        </w:tc>
      </w:tr>
      <w:tr w:rsidR="003B314F" w14:paraId="2001683C" w14:textId="77777777">
        <w:trPr>
          <w:cantSplit/>
        </w:trPr>
        <w:tc>
          <w:tcPr>
            <w:tcW w:w="5490" w:type="dxa"/>
            <w:vAlign w:val="center"/>
          </w:tcPr>
          <w:p w14:paraId="329CBB3E" w14:textId="77777777" w:rsidR="003B314F" w:rsidRDefault="001764E9">
            <w:pPr>
              <w:spacing w:beforeAutospacing="1" w:afterAutospacing="1"/>
            </w:pPr>
            <w:r>
              <w:rPr>
                <w:rFonts w:ascii="Arial" w:hAnsi="Arial"/>
                <w:color w:val="25396E"/>
                <w:sz w:val="16"/>
              </w:rPr>
              <w:t xml:space="preserve">Assisted residents to apply </w:t>
            </w:r>
            <w:proofErr w:type="gramStart"/>
            <w:r>
              <w:rPr>
                <w:rFonts w:ascii="Arial" w:hAnsi="Arial"/>
                <w:color w:val="25396E"/>
                <w:sz w:val="16"/>
              </w:rPr>
              <w:t>for, or</w:t>
            </w:r>
            <w:proofErr w:type="gramEnd"/>
            <w:r>
              <w:rPr>
                <w:rFonts w:ascii="Arial" w:hAnsi="Arial"/>
                <w:color w:val="25396E"/>
                <w:sz w:val="16"/>
              </w:rPr>
              <w:t xml:space="preserve"> attend vocational/technical training.</w:t>
            </w:r>
          </w:p>
        </w:tc>
        <w:tc>
          <w:tcPr>
            <w:tcW w:w="810" w:type="dxa"/>
            <w:vAlign w:val="center"/>
          </w:tcPr>
          <w:p w14:paraId="41C814DC"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33D525DF"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131AAFB6"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01D3887A"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2B275C01" w14:textId="77777777" w:rsidR="003B314F" w:rsidRDefault="001764E9">
            <w:pPr>
              <w:spacing w:beforeAutospacing="1" w:afterAutospacing="1"/>
              <w:jc w:val="right"/>
            </w:pPr>
            <w:r>
              <w:rPr>
                <w:rFonts w:ascii="Arial" w:hAnsi="Arial"/>
                <w:color w:val="000000"/>
                <w:sz w:val="16"/>
              </w:rPr>
              <w:t xml:space="preserve"> </w:t>
            </w:r>
          </w:p>
        </w:tc>
      </w:tr>
      <w:tr w:rsidR="003B314F" w14:paraId="7202E3BC" w14:textId="77777777">
        <w:trPr>
          <w:cantSplit/>
        </w:trPr>
        <w:tc>
          <w:tcPr>
            <w:tcW w:w="5490" w:type="dxa"/>
            <w:vAlign w:val="center"/>
          </w:tcPr>
          <w:p w14:paraId="7108966B" w14:textId="77777777" w:rsidR="003B314F" w:rsidRDefault="001764E9">
            <w:pPr>
              <w:spacing w:beforeAutospacing="1" w:afterAutospacing="1"/>
            </w:pPr>
            <w:r>
              <w:rPr>
                <w:rFonts w:ascii="Arial" w:hAnsi="Arial"/>
                <w:color w:val="25396E"/>
                <w:sz w:val="16"/>
              </w:rPr>
              <w:t>Assisted residents to obtain financial literacy training and/or coaching.</w:t>
            </w:r>
          </w:p>
        </w:tc>
        <w:tc>
          <w:tcPr>
            <w:tcW w:w="810" w:type="dxa"/>
            <w:vAlign w:val="center"/>
          </w:tcPr>
          <w:p w14:paraId="717F71CB"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413D5A61" w14:textId="77777777" w:rsidR="003B314F" w:rsidRDefault="001764E9">
            <w:pPr>
              <w:spacing w:beforeAutospacing="1" w:afterAutospacing="1"/>
              <w:jc w:val="right"/>
            </w:pPr>
            <w:r>
              <w:rPr>
                <w:rFonts w:ascii="Arial" w:hAnsi="Arial"/>
                <w:color w:val="000000"/>
                <w:sz w:val="16"/>
              </w:rPr>
              <w:t>1</w:t>
            </w:r>
          </w:p>
        </w:tc>
        <w:tc>
          <w:tcPr>
            <w:tcW w:w="720" w:type="dxa"/>
            <w:vAlign w:val="center"/>
          </w:tcPr>
          <w:p w14:paraId="69C108C9"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2D7B0726"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63CE0782" w14:textId="77777777" w:rsidR="003B314F" w:rsidRDefault="001764E9">
            <w:pPr>
              <w:spacing w:beforeAutospacing="1" w:afterAutospacing="1"/>
              <w:jc w:val="right"/>
            </w:pPr>
            <w:r>
              <w:rPr>
                <w:rFonts w:ascii="Arial" w:hAnsi="Arial"/>
                <w:color w:val="000000"/>
                <w:sz w:val="16"/>
              </w:rPr>
              <w:t xml:space="preserve"> </w:t>
            </w:r>
          </w:p>
        </w:tc>
      </w:tr>
      <w:tr w:rsidR="003B314F" w14:paraId="6265D53D" w14:textId="77777777">
        <w:trPr>
          <w:cantSplit/>
        </w:trPr>
        <w:tc>
          <w:tcPr>
            <w:tcW w:w="5490" w:type="dxa"/>
            <w:vAlign w:val="center"/>
          </w:tcPr>
          <w:p w14:paraId="73E79782" w14:textId="77777777" w:rsidR="003B314F" w:rsidRDefault="001764E9">
            <w:pPr>
              <w:spacing w:beforeAutospacing="1" w:afterAutospacing="1"/>
            </w:pPr>
            <w:r>
              <w:rPr>
                <w:rFonts w:ascii="Arial" w:hAnsi="Arial"/>
                <w:color w:val="25396E"/>
                <w:sz w:val="16"/>
              </w:rPr>
              <w:t>Bonding assistance, guaranties, or other efforts to support viable bids from Section 3 business concerns.</w:t>
            </w:r>
          </w:p>
        </w:tc>
        <w:tc>
          <w:tcPr>
            <w:tcW w:w="810" w:type="dxa"/>
            <w:vAlign w:val="center"/>
          </w:tcPr>
          <w:p w14:paraId="16AC4BF1"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6AEA1DD0"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3286966C"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70456966"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31E968CA" w14:textId="77777777" w:rsidR="003B314F" w:rsidRDefault="001764E9">
            <w:pPr>
              <w:spacing w:beforeAutospacing="1" w:afterAutospacing="1"/>
              <w:jc w:val="right"/>
            </w:pPr>
            <w:r>
              <w:rPr>
                <w:rFonts w:ascii="Arial" w:hAnsi="Arial"/>
                <w:color w:val="000000"/>
                <w:sz w:val="16"/>
              </w:rPr>
              <w:t xml:space="preserve"> </w:t>
            </w:r>
          </w:p>
        </w:tc>
      </w:tr>
      <w:tr w:rsidR="003B314F" w14:paraId="4415760E" w14:textId="77777777">
        <w:trPr>
          <w:cantSplit/>
        </w:trPr>
        <w:tc>
          <w:tcPr>
            <w:tcW w:w="5490" w:type="dxa"/>
            <w:vAlign w:val="center"/>
          </w:tcPr>
          <w:p w14:paraId="77B2666A" w14:textId="77777777" w:rsidR="003B314F" w:rsidRDefault="001764E9">
            <w:pPr>
              <w:spacing w:beforeAutospacing="1" w:afterAutospacing="1"/>
            </w:pPr>
            <w:r>
              <w:rPr>
                <w:rFonts w:ascii="Arial" w:hAnsi="Arial"/>
                <w:color w:val="25396E"/>
                <w:sz w:val="16"/>
              </w:rPr>
              <w:t>Provided or connected residents with training on computer use or online technologies.</w:t>
            </w:r>
          </w:p>
        </w:tc>
        <w:tc>
          <w:tcPr>
            <w:tcW w:w="810" w:type="dxa"/>
            <w:vAlign w:val="center"/>
          </w:tcPr>
          <w:p w14:paraId="120FE7DF"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073F1721" w14:textId="77777777" w:rsidR="003B314F" w:rsidRDefault="001764E9">
            <w:pPr>
              <w:spacing w:beforeAutospacing="1" w:afterAutospacing="1"/>
              <w:jc w:val="right"/>
            </w:pPr>
            <w:r>
              <w:rPr>
                <w:rFonts w:ascii="Arial" w:hAnsi="Arial"/>
                <w:color w:val="000000"/>
                <w:sz w:val="16"/>
              </w:rPr>
              <w:t>1</w:t>
            </w:r>
          </w:p>
        </w:tc>
        <w:tc>
          <w:tcPr>
            <w:tcW w:w="720" w:type="dxa"/>
            <w:vAlign w:val="center"/>
          </w:tcPr>
          <w:p w14:paraId="1A66FA8C"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7BA6911E"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401A17F2" w14:textId="77777777" w:rsidR="003B314F" w:rsidRDefault="001764E9">
            <w:pPr>
              <w:spacing w:beforeAutospacing="1" w:afterAutospacing="1"/>
              <w:jc w:val="right"/>
            </w:pPr>
            <w:r>
              <w:rPr>
                <w:rFonts w:ascii="Arial" w:hAnsi="Arial"/>
                <w:color w:val="000000"/>
                <w:sz w:val="16"/>
              </w:rPr>
              <w:t xml:space="preserve"> </w:t>
            </w:r>
          </w:p>
        </w:tc>
      </w:tr>
      <w:tr w:rsidR="003B314F" w14:paraId="4B4812BF" w14:textId="77777777">
        <w:trPr>
          <w:cantSplit/>
        </w:trPr>
        <w:tc>
          <w:tcPr>
            <w:tcW w:w="5490" w:type="dxa"/>
            <w:vAlign w:val="center"/>
          </w:tcPr>
          <w:p w14:paraId="065EDA72" w14:textId="77777777" w:rsidR="003B314F" w:rsidRDefault="001764E9">
            <w:pPr>
              <w:spacing w:beforeAutospacing="1" w:afterAutospacing="1"/>
            </w:pPr>
            <w:r>
              <w:rPr>
                <w:rFonts w:ascii="Arial" w:hAnsi="Arial"/>
                <w:color w:val="25396E"/>
                <w:sz w:val="16"/>
              </w:rPr>
              <w:t>Promoting the use of a business registry designed to create opportunities for disadvantaged and small businesses.</w:t>
            </w:r>
          </w:p>
        </w:tc>
        <w:tc>
          <w:tcPr>
            <w:tcW w:w="810" w:type="dxa"/>
            <w:vAlign w:val="center"/>
          </w:tcPr>
          <w:p w14:paraId="7FEEF557"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0D471813"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7B7341FA"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0FB7130D"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7D629DAE" w14:textId="77777777" w:rsidR="003B314F" w:rsidRDefault="001764E9">
            <w:pPr>
              <w:spacing w:beforeAutospacing="1" w:afterAutospacing="1"/>
              <w:jc w:val="right"/>
            </w:pPr>
            <w:r>
              <w:rPr>
                <w:rFonts w:ascii="Arial" w:hAnsi="Arial"/>
                <w:color w:val="000000"/>
                <w:sz w:val="16"/>
              </w:rPr>
              <w:t xml:space="preserve"> </w:t>
            </w:r>
          </w:p>
        </w:tc>
      </w:tr>
      <w:tr w:rsidR="003B314F" w14:paraId="19E57534" w14:textId="77777777">
        <w:trPr>
          <w:cantSplit/>
        </w:trPr>
        <w:tc>
          <w:tcPr>
            <w:tcW w:w="5490" w:type="dxa"/>
            <w:vAlign w:val="center"/>
          </w:tcPr>
          <w:p w14:paraId="27041104" w14:textId="77777777" w:rsidR="003B314F" w:rsidRDefault="001764E9">
            <w:pPr>
              <w:spacing w:beforeAutospacing="1" w:afterAutospacing="1"/>
            </w:pPr>
            <w:r>
              <w:rPr>
                <w:rFonts w:ascii="Arial" w:hAnsi="Arial"/>
                <w:color w:val="25396E"/>
                <w:sz w:val="16"/>
              </w:rPr>
              <w:t>Outreach, engagement, or referrals with the state one-stop system, as designed in Section 121(e)(2) of the Workforce Innovation and Opportunity Act.</w:t>
            </w:r>
          </w:p>
        </w:tc>
        <w:tc>
          <w:tcPr>
            <w:tcW w:w="810" w:type="dxa"/>
            <w:vAlign w:val="center"/>
          </w:tcPr>
          <w:p w14:paraId="620D81F2"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3B3F034C" w14:textId="77777777" w:rsidR="003B314F" w:rsidRDefault="001764E9">
            <w:pPr>
              <w:spacing w:beforeAutospacing="1" w:afterAutospacing="1"/>
              <w:jc w:val="right"/>
            </w:pPr>
            <w:r>
              <w:rPr>
                <w:rFonts w:ascii="Arial" w:hAnsi="Arial"/>
                <w:color w:val="000000"/>
                <w:sz w:val="16"/>
              </w:rPr>
              <w:t>1</w:t>
            </w:r>
          </w:p>
        </w:tc>
        <w:tc>
          <w:tcPr>
            <w:tcW w:w="720" w:type="dxa"/>
            <w:vAlign w:val="center"/>
          </w:tcPr>
          <w:p w14:paraId="7B6E410A"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4FC212F2"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635DA08F" w14:textId="77777777" w:rsidR="003B314F" w:rsidRDefault="001764E9">
            <w:pPr>
              <w:spacing w:beforeAutospacing="1" w:afterAutospacing="1"/>
              <w:jc w:val="right"/>
            </w:pPr>
            <w:r>
              <w:rPr>
                <w:rFonts w:ascii="Arial" w:hAnsi="Arial"/>
                <w:color w:val="000000"/>
                <w:sz w:val="16"/>
              </w:rPr>
              <w:t xml:space="preserve"> </w:t>
            </w:r>
          </w:p>
        </w:tc>
      </w:tr>
      <w:tr w:rsidR="003B314F" w14:paraId="7FBF0736" w14:textId="77777777">
        <w:trPr>
          <w:cantSplit/>
        </w:trPr>
        <w:tc>
          <w:tcPr>
            <w:tcW w:w="5490" w:type="dxa"/>
            <w:vAlign w:val="center"/>
          </w:tcPr>
          <w:p w14:paraId="12CE0AE9" w14:textId="77777777" w:rsidR="003B314F" w:rsidRDefault="001764E9">
            <w:pPr>
              <w:spacing w:beforeAutospacing="1" w:afterAutospacing="1"/>
            </w:pPr>
            <w:r>
              <w:rPr>
                <w:rFonts w:ascii="Arial" w:hAnsi="Arial"/>
                <w:color w:val="25396E"/>
                <w:sz w:val="16"/>
              </w:rPr>
              <w:t>Other.</w:t>
            </w:r>
          </w:p>
        </w:tc>
        <w:tc>
          <w:tcPr>
            <w:tcW w:w="810" w:type="dxa"/>
            <w:vAlign w:val="center"/>
          </w:tcPr>
          <w:p w14:paraId="058536E8" w14:textId="77777777" w:rsidR="003B314F" w:rsidRDefault="001764E9">
            <w:pPr>
              <w:spacing w:beforeAutospacing="1" w:afterAutospacing="1"/>
              <w:jc w:val="right"/>
            </w:pPr>
            <w:r>
              <w:rPr>
                <w:rFonts w:ascii="Arial" w:hAnsi="Arial"/>
                <w:color w:val="000000"/>
                <w:sz w:val="16"/>
              </w:rPr>
              <w:t xml:space="preserve"> </w:t>
            </w:r>
          </w:p>
        </w:tc>
        <w:tc>
          <w:tcPr>
            <w:tcW w:w="900" w:type="dxa"/>
            <w:vAlign w:val="center"/>
          </w:tcPr>
          <w:p w14:paraId="629826D7"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0216E7AB" w14:textId="77777777" w:rsidR="003B314F" w:rsidRDefault="001764E9">
            <w:pPr>
              <w:spacing w:beforeAutospacing="1" w:afterAutospacing="1"/>
              <w:jc w:val="right"/>
            </w:pPr>
            <w:r>
              <w:rPr>
                <w:rFonts w:ascii="Arial" w:hAnsi="Arial"/>
                <w:color w:val="000000"/>
                <w:sz w:val="16"/>
              </w:rPr>
              <w:t xml:space="preserve"> </w:t>
            </w:r>
          </w:p>
        </w:tc>
        <w:tc>
          <w:tcPr>
            <w:tcW w:w="990" w:type="dxa"/>
            <w:vAlign w:val="center"/>
          </w:tcPr>
          <w:p w14:paraId="43C22B44" w14:textId="77777777" w:rsidR="003B314F" w:rsidRDefault="001764E9">
            <w:pPr>
              <w:spacing w:beforeAutospacing="1" w:afterAutospacing="1"/>
              <w:jc w:val="right"/>
            </w:pPr>
            <w:r>
              <w:rPr>
                <w:rFonts w:ascii="Arial" w:hAnsi="Arial"/>
                <w:color w:val="000000"/>
                <w:sz w:val="16"/>
              </w:rPr>
              <w:t xml:space="preserve"> </w:t>
            </w:r>
          </w:p>
        </w:tc>
        <w:tc>
          <w:tcPr>
            <w:tcW w:w="720" w:type="dxa"/>
            <w:vAlign w:val="center"/>
          </w:tcPr>
          <w:p w14:paraId="0B02A6A0" w14:textId="77777777" w:rsidR="003B314F" w:rsidRDefault="001764E9">
            <w:pPr>
              <w:spacing w:beforeAutospacing="1" w:afterAutospacing="1"/>
              <w:jc w:val="right"/>
            </w:pPr>
            <w:r>
              <w:rPr>
                <w:rFonts w:ascii="Arial" w:hAnsi="Arial"/>
                <w:color w:val="000000"/>
                <w:sz w:val="16"/>
              </w:rPr>
              <w:t xml:space="preserve"> </w:t>
            </w:r>
          </w:p>
        </w:tc>
      </w:tr>
    </w:tbl>
    <w:p w14:paraId="5E84A092" w14:textId="77777777" w:rsidR="003B314F" w:rsidRDefault="001764E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Qualitative Efforts - Number of Activities by Program</w:t>
      </w:r>
    </w:p>
    <w:p w14:paraId="2110E7EB" w14:textId="77777777" w:rsidR="003B314F" w:rsidRDefault="003B314F">
      <w:pPr>
        <w:widowControl w:val="0"/>
        <w:rPr>
          <w:b/>
          <w:sz w:val="24"/>
          <w:szCs w:val="24"/>
        </w:rPr>
      </w:pPr>
    </w:p>
    <w:p w14:paraId="209DE4E9" w14:textId="77777777" w:rsidR="003B314F" w:rsidRDefault="001764E9">
      <w:pPr>
        <w:widowControl w:val="0"/>
        <w:rPr>
          <w:b/>
          <w:sz w:val="24"/>
          <w:szCs w:val="24"/>
        </w:rPr>
      </w:pPr>
      <w:r>
        <w:rPr>
          <w:b/>
          <w:sz w:val="24"/>
          <w:szCs w:val="24"/>
        </w:rPr>
        <w:t>Narrative</w:t>
      </w:r>
    </w:p>
    <w:p w14:paraId="64637D82" w14:textId="77777777" w:rsidR="003B314F" w:rsidRDefault="001764E9">
      <w:pPr>
        <w:widowControl w:val="0"/>
        <w:spacing w:beforeAutospacing="1" w:afterAutospacing="1"/>
        <w:rPr>
          <w:rFonts w:cs="Arial"/>
        </w:rPr>
      </w:pPr>
      <w:r>
        <w:rPr>
          <w:rFonts w:cs="Arial"/>
        </w:rPr>
        <w:t xml:space="preserve">The City of Evansville does not provide direct programs to low- and very low-income people that would be considered Qualitative Efforts.  Instead, the </w:t>
      </w:r>
      <w:proofErr w:type="gramStart"/>
      <w:r>
        <w:rPr>
          <w:rFonts w:cs="Arial"/>
        </w:rPr>
        <w:t>City</w:t>
      </w:r>
      <w:proofErr w:type="gramEnd"/>
      <w:r>
        <w:rPr>
          <w:rFonts w:cs="Arial"/>
        </w:rPr>
        <w:t xml:space="preserve"> partners with other local, state, and federal agencies as well as local nonprofit organizations to deliver supportive services to recipients of government assistance for housing and residents of the community in which the Federal assistance is spent.</w:t>
      </w:r>
    </w:p>
    <w:p w14:paraId="57D2CD46" w14:textId="77777777" w:rsidR="003B314F" w:rsidRDefault="001764E9">
      <w:pPr>
        <w:widowControl w:val="0"/>
        <w:spacing w:beforeAutospacing="1" w:afterAutospacing="1"/>
        <w:rPr>
          <w:rFonts w:cs="Arial"/>
        </w:rPr>
      </w:pPr>
      <w:r>
        <w:rPr>
          <w:rFonts w:cs="Arial"/>
        </w:rPr>
        <w:t xml:space="preserve">The City of Evansville works with the local WIOA one-stop system to support residents, including those in low-income communities, to secure long-term employment. This local workforce board includes a representative from the local unions allowing for a partnership with the unions and local contractors to create pathways to careers in the building trades. Additionally, the one-stop system provides neighborhood navigators who go into the neighborhoods to assist residents with job readiness and connecting with </w:t>
      </w:r>
      <w:r>
        <w:rPr>
          <w:rFonts w:cs="Arial"/>
        </w:rPr>
        <w:t xml:space="preserve">employers.  The </w:t>
      </w:r>
      <w:proofErr w:type="gramStart"/>
      <w:r>
        <w:rPr>
          <w:rFonts w:cs="Arial"/>
        </w:rPr>
        <w:t>City</w:t>
      </w:r>
      <w:proofErr w:type="gramEnd"/>
      <w:r>
        <w:rPr>
          <w:rFonts w:cs="Arial"/>
        </w:rPr>
        <w:t xml:space="preserve"> provides a large venue twice per year for job fairs with multiple employers and job services.  Supportive services and tuition assistance are provided on a limited basis through WIOA funding.</w:t>
      </w:r>
    </w:p>
    <w:p w14:paraId="4D19E998" w14:textId="77777777" w:rsidR="003B314F" w:rsidRDefault="001764E9">
      <w:pPr>
        <w:widowControl w:val="0"/>
        <w:spacing w:beforeAutospacing="1" w:afterAutospacing="1"/>
        <w:rPr>
          <w:rFonts w:cs="Arial"/>
        </w:rPr>
      </w:pPr>
      <w:r>
        <w:rPr>
          <w:rFonts w:cs="Arial"/>
        </w:rPr>
        <w:t xml:space="preserve">The </w:t>
      </w:r>
      <w:proofErr w:type="gramStart"/>
      <w:r>
        <w:rPr>
          <w:rFonts w:cs="Arial"/>
        </w:rPr>
        <w:t>City</w:t>
      </w:r>
      <w:proofErr w:type="gramEnd"/>
      <w:r>
        <w:rPr>
          <w:rFonts w:cs="Arial"/>
        </w:rPr>
        <w:t xml:space="preserve"> facilitates Housing Organizations United Serving Evansville (HOUSE), a coalition of housing organizations working collaboratively to remedy Evansville’s lack of affordable, habitable housing.   HOUSE strategies include building new units, rehabbing existing units and advocating for residents.  Many of the subrecipients of CDBG and HOME funds belong to HOUSE.  Several members of HOUSE provide financial literacy coaching and other services to improve housing and economic mobility for residents. </w:t>
      </w:r>
    </w:p>
    <w:p w14:paraId="76234D06" w14:textId="77777777" w:rsidR="003B314F" w:rsidRDefault="003B314F"/>
    <w:sectPr w:rsidR="003B314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6B571" w14:textId="77777777" w:rsidR="003B314F" w:rsidRDefault="001764E9">
      <w:r>
        <w:separator/>
      </w:r>
    </w:p>
  </w:endnote>
  <w:endnote w:type="continuationSeparator" w:id="0">
    <w:p w14:paraId="7E61B75B" w14:textId="77777777" w:rsidR="003B314F" w:rsidRDefault="0017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1E0" w:firstRow="1" w:lastRow="1" w:firstColumn="1" w:lastColumn="1" w:noHBand="0" w:noVBand="0"/>
    </w:tblPr>
    <w:tblGrid>
      <w:gridCol w:w="828"/>
      <w:gridCol w:w="7976"/>
      <w:gridCol w:w="772"/>
    </w:tblGrid>
    <w:tr w:rsidR="003B314F" w14:paraId="7057583C" w14:textId="77777777">
      <w:trPr>
        <w:jc w:val="center"/>
      </w:trPr>
      <w:tc>
        <w:tcPr>
          <w:tcW w:w="828" w:type="dxa"/>
        </w:tcPr>
        <w:p w14:paraId="5114534A" w14:textId="77777777" w:rsidR="003B314F" w:rsidRDefault="003B314F">
          <w:pPr>
            <w:pStyle w:val="Footer"/>
            <w:spacing w:after="0" w:line="240" w:lineRule="auto"/>
            <w:jc w:val="center"/>
          </w:pPr>
        </w:p>
      </w:tc>
      <w:tc>
        <w:tcPr>
          <w:tcW w:w="7976" w:type="dxa"/>
        </w:tcPr>
        <w:p w14:paraId="13CC17A6" w14:textId="77777777" w:rsidR="003B314F" w:rsidRDefault="001764E9">
          <w:pPr>
            <w:pStyle w:val="Footer"/>
            <w:spacing w:after="0" w:line="240" w:lineRule="auto"/>
            <w:jc w:val="center"/>
          </w:pPr>
          <w:r>
            <w:t>CAPER</w:t>
          </w:r>
        </w:p>
      </w:tc>
      <w:tc>
        <w:tcPr>
          <w:tcW w:w="772" w:type="dxa"/>
        </w:tcPr>
        <w:p w14:paraId="17B40603" w14:textId="77777777" w:rsidR="003B314F" w:rsidRDefault="001764E9">
          <w:pPr>
            <w:pStyle w:val="Footer"/>
            <w:spacing w:after="0" w:line="240" w:lineRule="auto"/>
            <w:jc w:val="right"/>
          </w:pPr>
          <w:r>
            <w:fldChar w:fldCharType="begin"/>
          </w:r>
          <w:r>
            <w:instrText>page</w:instrText>
          </w:r>
          <w:r>
            <w:fldChar w:fldCharType="separate"/>
          </w:r>
          <w:r>
            <w:t>1</w:t>
          </w:r>
          <w:r>
            <w:fldChar w:fldCharType="end"/>
          </w:r>
        </w:p>
      </w:tc>
    </w:tr>
  </w:tbl>
  <w:p w14:paraId="61E0EA02" w14:textId="77777777" w:rsidR="003B314F" w:rsidRDefault="001764E9">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5198F" w14:textId="77777777" w:rsidR="003B314F" w:rsidRDefault="001764E9">
      <w:r>
        <w:separator/>
      </w:r>
    </w:p>
  </w:footnote>
  <w:footnote w:type="continuationSeparator" w:id="0">
    <w:p w14:paraId="4C653127" w14:textId="77777777" w:rsidR="003B314F" w:rsidRDefault="00176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447164632">
    <w:abstractNumId w:val="11"/>
  </w:num>
  <w:num w:numId="2" w16cid:durableId="421684114">
    <w:abstractNumId w:val="9"/>
  </w:num>
  <w:num w:numId="3" w16cid:durableId="913469296">
    <w:abstractNumId w:val="7"/>
  </w:num>
  <w:num w:numId="4" w16cid:durableId="812909579">
    <w:abstractNumId w:val="6"/>
  </w:num>
  <w:num w:numId="5" w16cid:durableId="1899127607">
    <w:abstractNumId w:val="5"/>
  </w:num>
  <w:num w:numId="6" w16cid:durableId="1914046500">
    <w:abstractNumId w:val="4"/>
  </w:num>
  <w:num w:numId="7" w16cid:durableId="236866500">
    <w:abstractNumId w:val="8"/>
  </w:num>
  <w:num w:numId="8" w16cid:durableId="224998770">
    <w:abstractNumId w:val="3"/>
  </w:num>
  <w:num w:numId="9" w16cid:durableId="1437675577">
    <w:abstractNumId w:val="2"/>
  </w:num>
  <w:num w:numId="10" w16cid:durableId="24452101">
    <w:abstractNumId w:val="1"/>
  </w:num>
  <w:num w:numId="11" w16cid:durableId="1620724193">
    <w:abstractNumId w:val="0"/>
  </w:num>
  <w:num w:numId="12" w16cid:durableId="256448854">
    <w:abstractNumId w:val="10"/>
  </w:num>
  <w:num w:numId="13" w16cid:durableId="332413673">
    <w:abstractNumId w:val="15"/>
  </w:num>
  <w:num w:numId="14" w16cid:durableId="1291938421">
    <w:abstractNumId w:val="13"/>
  </w:num>
  <w:num w:numId="15" w16cid:durableId="1526404440">
    <w:abstractNumId w:val="12"/>
  </w:num>
  <w:num w:numId="16" w16cid:durableId="4266600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EC6"/>
    <w:rsid w:val="00001671"/>
    <w:rsid w:val="0000299C"/>
    <w:rsid w:val="000035A3"/>
    <w:rsid w:val="00003E3A"/>
    <w:rsid w:val="00004F01"/>
    <w:rsid w:val="000055F1"/>
    <w:rsid w:val="00006999"/>
    <w:rsid w:val="00007A74"/>
    <w:rsid w:val="000101FE"/>
    <w:rsid w:val="000109A7"/>
    <w:rsid w:val="000116B2"/>
    <w:rsid w:val="00012E9D"/>
    <w:rsid w:val="00013481"/>
    <w:rsid w:val="000146AF"/>
    <w:rsid w:val="00014B5F"/>
    <w:rsid w:val="0001643E"/>
    <w:rsid w:val="0001694F"/>
    <w:rsid w:val="00017C8C"/>
    <w:rsid w:val="000202EB"/>
    <w:rsid w:val="000204C7"/>
    <w:rsid w:val="00022CF5"/>
    <w:rsid w:val="000237FC"/>
    <w:rsid w:val="000250A9"/>
    <w:rsid w:val="0002592E"/>
    <w:rsid w:val="00025951"/>
    <w:rsid w:val="00025DEC"/>
    <w:rsid w:val="00026149"/>
    <w:rsid w:val="00027899"/>
    <w:rsid w:val="00027FD4"/>
    <w:rsid w:val="00030C85"/>
    <w:rsid w:val="00031960"/>
    <w:rsid w:val="00032C1E"/>
    <w:rsid w:val="0003300B"/>
    <w:rsid w:val="0003316E"/>
    <w:rsid w:val="00033A35"/>
    <w:rsid w:val="0003459B"/>
    <w:rsid w:val="00035628"/>
    <w:rsid w:val="000357CA"/>
    <w:rsid w:val="00035F04"/>
    <w:rsid w:val="000365DA"/>
    <w:rsid w:val="00040E81"/>
    <w:rsid w:val="0004164B"/>
    <w:rsid w:val="00042C4D"/>
    <w:rsid w:val="0004355B"/>
    <w:rsid w:val="00043B67"/>
    <w:rsid w:val="00044565"/>
    <w:rsid w:val="00044EC9"/>
    <w:rsid w:val="00047DD2"/>
    <w:rsid w:val="00047E3E"/>
    <w:rsid w:val="0005057C"/>
    <w:rsid w:val="000518AA"/>
    <w:rsid w:val="00052543"/>
    <w:rsid w:val="0005399B"/>
    <w:rsid w:val="00053D85"/>
    <w:rsid w:val="00053E62"/>
    <w:rsid w:val="00054780"/>
    <w:rsid w:val="000549C7"/>
    <w:rsid w:val="00054D96"/>
    <w:rsid w:val="00056828"/>
    <w:rsid w:val="00057E29"/>
    <w:rsid w:val="00060CE4"/>
    <w:rsid w:val="00061845"/>
    <w:rsid w:val="00061B37"/>
    <w:rsid w:val="00061E41"/>
    <w:rsid w:val="000620FD"/>
    <w:rsid w:val="000623F4"/>
    <w:rsid w:val="00063F1C"/>
    <w:rsid w:val="00065D4E"/>
    <w:rsid w:val="000661A8"/>
    <w:rsid w:val="00066237"/>
    <w:rsid w:val="000670CF"/>
    <w:rsid w:val="00067FD4"/>
    <w:rsid w:val="00070633"/>
    <w:rsid w:val="00071C7C"/>
    <w:rsid w:val="00072C8A"/>
    <w:rsid w:val="00072F46"/>
    <w:rsid w:val="000734F6"/>
    <w:rsid w:val="00073E7A"/>
    <w:rsid w:val="00074919"/>
    <w:rsid w:val="00074DEF"/>
    <w:rsid w:val="0007533E"/>
    <w:rsid w:val="00075AB2"/>
    <w:rsid w:val="0007671E"/>
    <w:rsid w:val="00076CF5"/>
    <w:rsid w:val="00076D36"/>
    <w:rsid w:val="00077619"/>
    <w:rsid w:val="00077A7A"/>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952"/>
    <w:rsid w:val="00083B49"/>
    <w:rsid w:val="00083BEB"/>
    <w:rsid w:val="00084058"/>
    <w:rsid w:val="0008420F"/>
    <w:rsid w:val="00084385"/>
    <w:rsid w:val="00084E02"/>
    <w:rsid w:val="00085ECE"/>
    <w:rsid w:val="0008764E"/>
    <w:rsid w:val="00087BEC"/>
    <w:rsid w:val="00091139"/>
    <w:rsid w:val="000920F8"/>
    <w:rsid w:val="00092FA7"/>
    <w:rsid w:val="00093600"/>
    <w:rsid w:val="0009415B"/>
    <w:rsid w:val="0009419B"/>
    <w:rsid w:val="00094C65"/>
    <w:rsid w:val="00096632"/>
    <w:rsid w:val="00096BAB"/>
    <w:rsid w:val="00096FE3"/>
    <w:rsid w:val="000975D9"/>
    <w:rsid w:val="00097D73"/>
    <w:rsid w:val="000A22C7"/>
    <w:rsid w:val="000A3328"/>
    <w:rsid w:val="000A3869"/>
    <w:rsid w:val="000A3AF5"/>
    <w:rsid w:val="000A3DED"/>
    <w:rsid w:val="000A49C3"/>
    <w:rsid w:val="000A6604"/>
    <w:rsid w:val="000A7EAA"/>
    <w:rsid w:val="000A7EB6"/>
    <w:rsid w:val="000B0148"/>
    <w:rsid w:val="000B05D4"/>
    <w:rsid w:val="000B0735"/>
    <w:rsid w:val="000B1705"/>
    <w:rsid w:val="000B291F"/>
    <w:rsid w:val="000B3DD8"/>
    <w:rsid w:val="000B45BD"/>
    <w:rsid w:val="000B5D24"/>
    <w:rsid w:val="000B6036"/>
    <w:rsid w:val="000B6192"/>
    <w:rsid w:val="000B6842"/>
    <w:rsid w:val="000B7A3C"/>
    <w:rsid w:val="000C0752"/>
    <w:rsid w:val="000C0905"/>
    <w:rsid w:val="000C0B16"/>
    <w:rsid w:val="000C20FC"/>
    <w:rsid w:val="000C23F6"/>
    <w:rsid w:val="000C265E"/>
    <w:rsid w:val="000C3ACA"/>
    <w:rsid w:val="000C5AF9"/>
    <w:rsid w:val="000C666E"/>
    <w:rsid w:val="000C7403"/>
    <w:rsid w:val="000C74F3"/>
    <w:rsid w:val="000D01E0"/>
    <w:rsid w:val="000D14F6"/>
    <w:rsid w:val="000D1DC9"/>
    <w:rsid w:val="000D422A"/>
    <w:rsid w:val="000D488E"/>
    <w:rsid w:val="000D6A4D"/>
    <w:rsid w:val="000D6CFF"/>
    <w:rsid w:val="000D71A6"/>
    <w:rsid w:val="000D7D16"/>
    <w:rsid w:val="000E0343"/>
    <w:rsid w:val="000E0AAE"/>
    <w:rsid w:val="000E0D5D"/>
    <w:rsid w:val="000E13BA"/>
    <w:rsid w:val="000E1DFB"/>
    <w:rsid w:val="000E1F9B"/>
    <w:rsid w:val="000E2A69"/>
    <w:rsid w:val="000E2C4D"/>
    <w:rsid w:val="000E4A11"/>
    <w:rsid w:val="000E5032"/>
    <w:rsid w:val="000E53D6"/>
    <w:rsid w:val="000E5FBD"/>
    <w:rsid w:val="000E60F9"/>
    <w:rsid w:val="000E6121"/>
    <w:rsid w:val="000E640E"/>
    <w:rsid w:val="000E6B9A"/>
    <w:rsid w:val="000E6CB6"/>
    <w:rsid w:val="000F04AF"/>
    <w:rsid w:val="000F0F15"/>
    <w:rsid w:val="000F1426"/>
    <w:rsid w:val="000F21DE"/>
    <w:rsid w:val="000F503D"/>
    <w:rsid w:val="000F683C"/>
    <w:rsid w:val="000F6B53"/>
    <w:rsid w:val="001000D7"/>
    <w:rsid w:val="00101E3D"/>
    <w:rsid w:val="00102442"/>
    <w:rsid w:val="0010332E"/>
    <w:rsid w:val="00104032"/>
    <w:rsid w:val="0010487A"/>
    <w:rsid w:val="00106CAB"/>
    <w:rsid w:val="0010757C"/>
    <w:rsid w:val="001101BB"/>
    <w:rsid w:val="001105E4"/>
    <w:rsid w:val="00111CFD"/>
    <w:rsid w:val="00111DEA"/>
    <w:rsid w:val="00111F9F"/>
    <w:rsid w:val="001121F8"/>
    <w:rsid w:val="00112F30"/>
    <w:rsid w:val="0011341D"/>
    <w:rsid w:val="0011453E"/>
    <w:rsid w:val="00114CA6"/>
    <w:rsid w:val="00115066"/>
    <w:rsid w:val="00117AB9"/>
    <w:rsid w:val="00117CAF"/>
    <w:rsid w:val="00120904"/>
    <w:rsid w:val="00123B67"/>
    <w:rsid w:val="001244C5"/>
    <w:rsid w:val="00124E85"/>
    <w:rsid w:val="00125428"/>
    <w:rsid w:val="001256B0"/>
    <w:rsid w:val="00125FCA"/>
    <w:rsid w:val="00126022"/>
    <w:rsid w:val="001261A0"/>
    <w:rsid w:val="001274C4"/>
    <w:rsid w:val="00132B0C"/>
    <w:rsid w:val="00132CEA"/>
    <w:rsid w:val="00133EA4"/>
    <w:rsid w:val="00134B79"/>
    <w:rsid w:val="0013545A"/>
    <w:rsid w:val="00135B76"/>
    <w:rsid w:val="00135EA7"/>
    <w:rsid w:val="00136724"/>
    <w:rsid w:val="00137DF0"/>
    <w:rsid w:val="00141F8B"/>
    <w:rsid w:val="001426D3"/>
    <w:rsid w:val="001442FB"/>
    <w:rsid w:val="001452F7"/>
    <w:rsid w:val="0014572F"/>
    <w:rsid w:val="001460FB"/>
    <w:rsid w:val="00146B9A"/>
    <w:rsid w:val="0014790F"/>
    <w:rsid w:val="0015000D"/>
    <w:rsid w:val="00150082"/>
    <w:rsid w:val="001501DB"/>
    <w:rsid w:val="00150A50"/>
    <w:rsid w:val="00150B00"/>
    <w:rsid w:val="00151FDE"/>
    <w:rsid w:val="001539D4"/>
    <w:rsid w:val="0015548F"/>
    <w:rsid w:val="00156045"/>
    <w:rsid w:val="00156205"/>
    <w:rsid w:val="00157867"/>
    <w:rsid w:val="00157D8A"/>
    <w:rsid w:val="00157DD0"/>
    <w:rsid w:val="0016089C"/>
    <w:rsid w:val="00160AC1"/>
    <w:rsid w:val="00162077"/>
    <w:rsid w:val="0016267E"/>
    <w:rsid w:val="00162A99"/>
    <w:rsid w:val="00163BA8"/>
    <w:rsid w:val="00164969"/>
    <w:rsid w:val="001657BA"/>
    <w:rsid w:val="00165B3F"/>
    <w:rsid w:val="00166377"/>
    <w:rsid w:val="00166FC2"/>
    <w:rsid w:val="00167346"/>
    <w:rsid w:val="001703C2"/>
    <w:rsid w:val="001728FD"/>
    <w:rsid w:val="00172A41"/>
    <w:rsid w:val="00172D3C"/>
    <w:rsid w:val="00173660"/>
    <w:rsid w:val="0017391B"/>
    <w:rsid w:val="00173954"/>
    <w:rsid w:val="001748A8"/>
    <w:rsid w:val="00174E22"/>
    <w:rsid w:val="00174F62"/>
    <w:rsid w:val="00175A92"/>
    <w:rsid w:val="001764E9"/>
    <w:rsid w:val="00176F2C"/>
    <w:rsid w:val="0017730C"/>
    <w:rsid w:val="00177DEF"/>
    <w:rsid w:val="00180218"/>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2527"/>
    <w:rsid w:val="00192E4D"/>
    <w:rsid w:val="00193AF0"/>
    <w:rsid w:val="0019437E"/>
    <w:rsid w:val="001949B1"/>
    <w:rsid w:val="00194CDA"/>
    <w:rsid w:val="00194DE6"/>
    <w:rsid w:val="001964F3"/>
    <w:rsid w:val="00197A7A"/>
    <w:rsid w:val="00197C72"/>
    <w:rsid w:val="001A0074"/>
    <w:rsid w:val="001A0F7B"/>
    <w:rsid w:val="001A1131"/>
    <w:rsid w:val="001A226D"/>
    <w:rsid w:val="001A44BB"/>
    <w:rsid w:val="001A4F93"/>
    <w:rsid w:val="001A6644"/>
    <w:rsid w:val="001A6F81"/>
    <w:rsid w:val="001A7613"/>
    <w:rsid w:val="001A7F28"/>
    <w:rsid w:val="001B0BA7"/>
    <w:rsid w:val="001B177E"/>
    <w:rsid w:val="001B469C"/>
    <w:rsid w:val="001B5AF8"/>
    <w:rsid w:val="001B64F7"/>
    <w:rsid w:val="001B6520"/>
    <w:rsid w:val="001B6936"/>
    <w:rsid w:val="001B75E2"/>
    <w:rsid w:val="001B7DB9"/>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20E3"/>
    <w:rsid w:val="001D285F"/>
    <w:rsid w:val="001D3A7D"/>
    <w:rsid w:val="001D4366"/>
    <w:rsid w:val="001D5457"/>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FC4"/>
    <w:rsid w:val="001F3C7D"/>
    <w:rsid w:val="001F3CB4"/>
    <w:rsid w:val="001F68DE"/>
    <w:rsid w:val="001F753C"/>
    <w:rsid w:val="002028BF"/>
    <w:rsid w:val="00203C89"/>
    <w:rsid w:val="00204041"/>
    <w:rsid w:val="00204CFE"/>
    <w:rsid w:val="00204E13"/>
    <w:rsid w:val="00205644"/>
    <w:rsid w:val="00205CCE"/>
    <w:rsid w:val="00207A05"/>
    <w:rsid w:val="00210BE4"/>
    <w:rsid w:val="002111DD"/>
    <w:rsid w:val="002116BD"/>
    <w:rsid w:val="00212E96"/>
    <w:rsid w:val="002137A1"/>
    <w:rsid w:val="00214170"/>
    <w:rsid w:val="002150FE"/>
    <w:rsid w:val="00215FFC"/>
    <w:rsid w:val="00216A02"/>
    <w:rsid w:val="00216DD3"/>
    <w:rsid w:val="00217523"/>
    <w:rsid w:val="0021781D"/>
    <w:rsid w:val="00217B66"/>
    <w:rsid w:val="00217EA0"/>
    <w:rsid w:val="00220C8E"/>
    <w:rsid w:val="002211EC"/>
    <w:rsid w:val="00221262"/>
    <w:rsid w:val="00221D81"/>
    <w:rsid w:val="00224031"/>
    <w:rsid w:val="00224741"/>
    <w:rsid w:val="002248BD"/>
    <w:rsid w:val="00224CD2"/>
    <w:rsid w:val="002266F1"/>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397D"/>
    <w:rsid w:val="00243BB2"/>
    <w:rsid w:val="0024409B"/>
    <w:rsid w:val="00244529"/>
    <w:rsid w:val="00244EDB"/>
    <w:rsid w:val="0024534C"/>
    <w:rsid w:val="00245AEC"/>
    <w:rsid w:val="00247E65"/>
    <w:rsid w:val="0025080C"/>
    <w:rsid w:val="0025207C"/>
    <w:rsid w:val="00254774"/>
    <w:rsid w:val="0025577D"/>
    <w:rsid w:val="00255CB4"/>
    <w:rsid w:val="0025607E"/>
    <w:rsid w:val="00256481"/>
    <w:rsid w:val="002564B0"/>
    <w:rsid w:val="00257643"/>
    <w:rsid w:val="00260080"/>
    <w:rsid w:val="00260770"/>
    <w:rsid w:val="00260E1E"/>
    <w:rsid w:val="00260F6E"/>
    <w:rsid w:val="00261EA3"/>
    <w:rsid w:val="00262D53"/>
    <w:rsid w:val="00263CA8"/>
    <w:rsid w:val="002643F3"/>
    <w:rsid w:val="0026448F"/>
    <w:rsid w:val="002660BC"/>
    <w:rsid w:val="00267042"/>
    <w:rsid w:val="00267FE2"/>
    <w:rsid w:val="0027020F"/>
    <w:rsid w:val="002707F7"/>
    <w:rsid w:val="00270B46"/>
    <w:rsid w:val="00270E66"/>
    <w:rsid w:val="002721FA"/>
    <w:rsid w:val="00272758"/>
    <w:rsid w:val="00272E1D"/>
    <w:rsid w:val="00275F5E"/>
    <w:rsid w:val="00276096"/>
    <w:rsid w:val="002764CB"/>
    <w:rsid w:val="0027673E"/>
    <w:rsid w:val="00277A52"/>
    <w:rsid w:val="00277D0B"/>
    <w:rsid w:val="0028052A"/>
    <w:rsid w:val="002805C4"/>
    <w:rsid w:val="00283CA8"/>
    <w:rsid w:val="002845D3"/>
    <w:rsid w:val="002847C0"/>
    <w:rsid w:val="00284AD9"/>
    <w:rsid w:val="00284E5C"/>
    <w:rsid w:val="00285752"/>
    <w:rsid w:val="0028792C"/>
    <w:rsid w:val="002879F1"/>
    <w:rsid w:val="002905D8"/>
    <w:rsid w:val="00290DB9"/>
    <w:rsid w:val="00291155"/>
    <w:rsid w:val="00291F7B"/>
    <w:rsid w:val="00292ECE"/>
    <w:rsid w:val="002940C6"/>
    <w:rsid w:val="00294B1B"/>
    <w:rsid w:val="00294CA9"/>
    <w:rsid w:val="00295998"/>
    <w:rsid w:val="002969C3"/>
    <w:rsid w:val="00297030"/>
    <w:rsid w:val="002A1320"/>
    <w:rsid w:val="002A19C0"/>
    <w:rsid w:val="002A2068"/>
    <w:rsid w:val="002A206F"/>
    <w:rsid w:val="002A2980"/>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4269"/>
    <w:rsid w:val="002C451D"/>
    <w:rsid w:val="002C547E"/>
    <w:rsid w:val="002C55DF"/>
    <w:rsid w:val="002C5F73"/>
    <w:rsid w:val="002C7DA5"/>
    <w:rsid w:val="002D3381"/>
    <w:rsid w:val="002D34A9"/>
    <w:rsid w:val="002D45E4"/>
    <w:rsid w:val="002D478C"/>
    <w:rsid w:val="002D5755"/>
    <w:rsid w:val="002D6121"/>
    <w:rsid w:val="002D71DF"/>
    <w:rsid w:val="002D72DF"/>
    <w:rsid w:val="002E04EA"/>
    <w:rsid w:val="002E0765"/>
    <w:rsid w:val="002E2948"/>
    <w:rsid w:val="002E373E"/>
    <w:rsid w:val="002E5E11"/>
    <w:rsid w:val="002E7287"/>
    <w:rsid w:val="002F00E3"/>
    <w:rsid w:val="002F0A95"/>
    <w:rsid w:val="002F13AD"/>
    <w:rsid w:val="002F1FFB"/>
    <w:rsid w:val="002F24E1"/>
    <w:rsid w:val="002F2A9F"/>
    <w:rsid w:val="002F3E66"/>
    <w:rsid w:val="002F4183"/>
    <w:rsid w:val="002F475D"/>
    <w:rsid w:val="002F5272"/>
    <w:rsid w:val="002F664F"/>
    <w:rsid w:val="002F7A63"/>
    <w:rsid w:val="003003C0"/>
    <w:rsid w:val="0030068B"/>
    <w:rsid w:val="00300855"/>
    <w:rsid w:val="00302737"/>
    <w:rsid w:val="00302A61"/>
    <w:rsid w:val="003045D1"/>
    <w:rsid w:val="003045F6"/>
    <w:rsid w:val="00304D73"/>
    <w:rsid w:val="00305182"/>
    <w:rsid w:val="003056D6"/>
    <w:rsid w:val="0030598B"/>
    <w:rsid w:val="0030672D"/>
    <w:rsid w:val="00306E0A"/>
    <w:rsid w:val="00306F39"/>
    <w:rsid w:val="00307CCF"/>
    <w:rsid w:val="00311270"/>
    <w:rsid w:val="003113E0"/>
    <w:rsid w:val="003118D7"/>
    <w:rsid w:val="00312833"/>
    <w:rsid w:val="00312C1B"/>
    <w:rsid w:val="003138AA"/>
    <w:rsid w:val="00313917"/>
    <w:rsid w:val="00314B0B"/>
    <w:rsid w:val="003156F5"/>
    <w:rsid w:val="00316098"/>
    <w:rsid w:val="00316631"/>
    <w:rsid w:val="00316EE5"/>
    <w:rsid w:val="00320E49"/>
    <w:rsid w:val="003214A9"/>
    <w:rsid w:val="00321A46"/>
    <w:rsid w:val="00322F17"/>
    <w:rsid w:val="0032477D"/>
    <w:rsid w:val="003257E9"/>
    <w:rsid w:val="003262D2"/>
    <w:rsid w:val="00327329"/>
    <w:rsid w:val="00327477"/>
    <w:rsid w:val="00327499"/>
    <w:rsid w:val="00327DDD"/>
    <w:rsid w:val="0033058A"/>
    <w:rsid w:val="0033064E"/>
    <w:rsid w:val="00330AC7"/>
    <w:rsid w:val="003316A0"/>
    <w:rsid w:val="0033187D"/>
    <w:rsid w:val="0033195A"/>
    <w:rsid w:val="00332A82"/>
    <w:rsid w:val="00334122"/>
    <w:rsid w:val="00334913"/>
    <w:rsid w:val="003350EA"/>
    <w:rsid w:val="00335120"/>
    <w:rsid w:val="003371DB"/>
    <w:rsid w:val="00337C8A"/>
    <w:rsid w:val="003404B4"/>
    <w:rsid w:val="0034130D"/>
    <w:rsid w:val="0034133C"/>
    <w:rsid w:val="003416A3"/>
    <w:rsid w:val="00341BA7"/>
    <w:rsid w:val="00342143"/>
    <w:rsid w:val="00342F57"/>
    <w:rsid w:val="00343DFD"/>
    <w:rsid w:val="0034477A"/>
    <w:rsid w:val="00344D4F"/>
    <w:rsid w:val="0034596B"/>
    <w:rsid w:val="00346C40"/>
    <w:rsid w:val="00347C60"/>
    <w:rsid w:val="00350450"/>
    <w:rsid w:val="003504FE"/>
    <w:rsid w:val="00350A6A"/>
    <w:rsid w:val="003518E2"/>
    <w:rsid w:val="00351DF3"/>
    <w:rsid w:val="003521B8"/>
    <w:rsid w:val="00352316"/>
    <w:rsid w:val="00352E8A"/>
    <w:rsid w:val="0035324B"/>
    <w:rsid w:val="003543C9"/>
    <w:rsid w:val="00354514"/>
    <w:rsid w:val="003550DA"/>
    <w:rsid w:val="003558E7"/>
    <w:rsid w:val="00355E11"/>
    <w:rsid w:val="00357C5C"/>
    <w:rsid w:val="00361CC3"/>
    <w:rsid w:val="00362941"/>
    <w:rsid w:val="00362ACB"/>
    <w:rsid w:val="00362BC6"/>
    <w:rsid w:val="00362BEC"/>
    <w:rsid w:val="003636A4"/>
    <w:rsid w:val="00365CE8"/>
    <w:rsid w:val="00367870"/>
    <w:rsid w:val="00370741"/>
    <w:rsid w:val="0037146A"/>
    <w:rsid w:val="0037176A"/>
    <w:rsid w:val="00371907"/>
    <w:rsid w:val="00375479"/>
    <w:rsid w:val="0037664B"/>
    <w:rsid w:val="0037754F"/>
    <w:rsid w:val="00377ACE"/>
    <w:rsid w:val="00380C4B"/>
    <w:rsid w:val="003814EF"/>
    <w:rsid w:val="00382896"/>
    <w:rsid w:val="00383267"/>
    <w:rsid w:val="003837F6"/>
    <w:rsid w:val="00383DA8"/>
    <w:rsid w:val="00384469"/>
    <w:rsid w:val="0038596A"/>
    <w:rsid w:val="003916D4"/>
    <w:rsid w:val="003923B5"/>
    <w:rsid w:val="00392557"/>
    <w:rsid w:val="00392D92"/>
    <w:rsid w:val="00393270"/>
    <w:rsid w:val="0039344B"/>
    <w:rsid w:val="00393D1A"/>
    <w:rsid w:val="00394D6A"/>
    <w:rsid w:val="00394F4A"/>
    <w:rsid w:val="003958CF"/>
    <w:rsid w:val="00396613"/>
    <w:rsid w:val="00396711"/>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A22"/>
    <w:rsid w:val="003A4B51"/>
    <w:rsid w:val="003A5721"/>
    <w:rsid w:val="003A5AF1"/>
    <w:rsid w:val="003A5B2A"/>
    <w:rsid w:val="003A683D"/>
    <w:rsid w:val="003B2C69"/>
    <w:rsid w:val="003B2D3A"/>
    <w:rsid w:val="003B314F"/>
    <w:rsid w:val="003B441D"/>
    <w:rsid w:val="003B47FF"/>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406"/>
    <w:rsid w:val="003D20C4"/>
    <w:rsid w:val="003D2E4C"/>
    <w:rsid w:val="003D3487"/>
    <w:rsid w:val="003D34A0"/>
    <w:rsid w:val="003D4133"/>
    <w:rsid w:val="003D4D5B"/>
    <w:rsid w:val="003D4F68"/>
    <w:rsid w:val="003D68A3"/>
    <w:rsid w:val="003D72A1"/>
    <w:rsid w:val="003D76CD"/>
    <w:rsid w:val="003D7A9E"/>
    <w:rsid w:val="003E0F35"/>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40BA"/>
    <w:rsid w:val="003F5F7A"/>
    <w:rsid w:val="003F60B5"/>
    <w:rsid w:val="003F6FC9"/>
    <w:rsid w:val="004000E2"/>
    <w:rsid w:val="00400274"/>
    <w:rsid w:val="00400B9A"/>
    <w:rsid w:val="004027AD"/>
    <w:rsid w:val="00403758"/>
    <w:rsid w:val="00403D51"/>
    <w:rsid w:val="00404530"/>
    <w:rsid w:val="00404C37"/>
    <w:rsid w:val="004058BD"/>
    <w:rsid w:val="0040597B"/>
    <w:rsid w:val="0040778D"/>
    <w:rsid w:val="00410A65"/>
    <w:rsid w:val="00413518"/>
    <w:rsid w:val="0041369A"/>
    <w:rsid w:val="0041480C"/>
    <w:rsid w:val="00415254"/>
    <w:rsid w:val="0041625C"/>
    <w:rsid w:val="00416FB6"/>
    <w:rsid w:val="00417339"/>
    <w:rsid w:val="0041739E"/>
    <w:rsid w:val="0041783B"/>
    <w:rsid w:val="004223A6"/>
    <w:rsid w:val="0042286B"/>
    <w:rsid w:val="00424A45"/>
    <w:rsid w:val="004259F8"/>
    <w:rsid w:val="00427BEE"/>
    <w:rsid w:val="0043271A"/>
    <w:rsid w:val="00432796"/>
    <w:rsid w:val="00432EB4"/>
    <w:rsid w:val="00432F29"/>
    <w:rsid w:val="00434057"/>
    <w:rsid w:val="004349D6"/>
    <w:rsid w:val="00435096"/>
    <w:rsid w:val="00435179"/>
    <w:rsid w:val="00435A3B"/>
    <w:rsid w:val="00437EC9"/>
    <w:rsid w:val="0044241B"/>
    <w:rsid w:val="00442439"/>
    <w:rsid w:val="0044261D"/>
    <w:rsid w:val="00443A29"/>
    <w:rsid w:val="00443EE4"/>
    <w:rsid w:val="00444190"/>
    <w:rsid w:val="00444616"/>
    <w:rsid w:val="0044477A"/>
    <w:rsid w:val="004448CA"/>
    <w:rsid w:val="004468BC"/>
    <w:rsid w:val="00447517"/>
    <w:rsid w:val="00450760"/>
    <w:rsid w:val="00450FE7"/>
    <w:rsid w:val="00451AA9"/>
    <w:rsid w:val="00451C8B"/>
    <w:rsid w:val="00452EC7"/>
    <w:rsid w:val="00453175"/>
    <w:rsid w:val="00453780"/>
    <w:rsid w:val="0045398A"/>
    <w:rsid w:val="00453AC7"/>
    <w:rsid w:val="00455495"/>
    <w:rsid w:val="00455FD2"/>
    <w:rsid w:val="0045736A"/>
    <w:rsid w:val="00460DF1"/>
    <w:rsid w:val="00461BB7"/>
    <w:rsid w:val="00463CA5"/>
    <w:rsid w:val="00464469"/>
    <w:rsid w:val="00465117"/>
    <w:rsid w:val="0046519F"/>
    <w:rsid w:val="00465236"/>
    <w:rsid w:val="004657FC"/>
    <w:rsid w:val="004665B7"/>
    <w:rsid w:val="0046678C"/>
    <w:rsid w:val="0046760B"/>
    <w:rsid w:val="004702B9"/>
    <w:rsid w:val="00470BB5"/>
    <w:rsid w:val="004718FE"/>
    <w:rsid w:val="00471F93"/>
    <w:rsid w:val="00472F5C"/>
    <w:rsid w:val="00473A67"/>
    <w:rsid w:val="00474956"/>
    <w:rsid w:val="00474B58"/>
    <w:rsid w:val="00474C83"/>
    <w:rsid w:val="00476421"/>
    <w:rsid w:val="00480DA8"/>
    <w:rsid w:val="004829FE"/>
    <w:rsid w:val="00483130"/>
    <w:rsid w:val="00483625"/>
    <w:rsid w:val="004845FB"/>
    <w:rsid w:val="004854F8"/>
    <w:rsid w:val="0048572B"/>
    <w:rsid w:val="004871B3"/>
    <w:rsid w:val="00487807"/>
    <w:rsid w:val="00487944"/>
    <w:rsid w:val="00490153"/>
    <w:rsid w:val="00491266"/>
    <w:rsid w:val="004914A6"/>
    <w:rsid w:val="00491EC7"/>
    <w:rsid w:val="00492522"/>
    <w:rsid w:val="00492CAF"/>
    <w:rsid w:val="00494561"/>
    <w:rsid w:val="00495006"/>
    <w:rsid w:val="00495A25"/>
    <w:rsid w:val="00495D87"/>
    <w:rsid w:val="00495F6A"/>
    <w:rsid w:val="004963D7"/>
    <w:rsid w:val="00496E0E"/>
    <w:rsid w:val="004978B8"/>
    <w:rsid w:val="004A07BF"/>
    <w:rsid w:val="004A1723"/>
    <w:rsid w:val="004A1D57"/>
    <w:rsid w:val="004A1FA4"/>
    <w:rsid w:val="004A2462"/>
    <w:rsid w:val="004A2A46"/>
    <w:rsid w:val="004A5050"/>
    <w:rsid w:val="004A51EB"/>
    <w:rsid w:val="004A61B9"/>
    <w:rsid w:val="004A6DB8"/>
    <w:rsid w:val="004A7384"/>
    <w:rsid w:val="004A7843"/>
    <w:rsid w:val="004A7D24"/>
    <w:rsid w:val="004A7DCF"/>
    <w:rsid w:val="004B0C5D"/>
    <w:rsid w:val="004B1084"/>
    <w:rsid w:val="004B23A5"/>
    <w:rsid w:val="004B247B"/>
    <w:rsid w:val="004B35BC"/>
    <w:rsid w:val="004B3E8D"/>
    <w:rsid w:val="004B3FD6"/>
    <w:rsid w:val="004B50AE"/>
    <w:rsid w:val="004B5691"/>
    <w:rsid w:val="004B757F"/>
    <w:rsid w:val="004C0183"/>
    <w:rsid w:val="004C0761"/>
    <w:rsid w:val="004C125A"/>
    <w:rsid w:val="004C1830"/>
    <w:rsid w:val="004C23A2"/>
    <w:rsid w:val="004C2625"/>
    <w:rsid w:val="004C280F"/>
    <w:rsid w:val="004C3628"/>
    <w:rsid w:val="004C468D"/>
    <w:rsid w:val="004C554B"/>
    <w:rsid w:val="004C5CFA"/>
    <w:rsid w:val="004C753E"/>
    <w:rsid w:val="004C7780"/>
    <w:rsid w:val="004C7E89"/>
    <w:rsid w:val="004D06F3"/>
    <w:rsid w:val="004D17F4"/>
    <w:rsid w:val="004D3AE0"/>
    <w:rsid w:val="004D5110"/>
    <w:rsid w:val="004D52DA"/>
    <w:rsid w:val="004D69FB"/>
    <w:rsid w:val="004E06E9"/>
    <w:rsid w:val="004E0FAB"/>
    <w:rsid w:val="004E2908"/>
    <w:rsid w:val="004E2C11"/>
    <w:rsid w:val="004E2E25"/>
    <w:rsid w:val="004E5ADD"/>
    <w:rsid w:val="004E78FE"/>
    <w:rsid w:val="004E7D05"/>
    <w:rsid w:val="004F07E5"/>
    <w:rsid w:val="004F0D4F"/>
    <w:rsid w:val="004F0F57"/>
    <w:rsid w:val="004F2470"/>
    <w:rsid w:val="004F2C10"/>
    <w:rsid w:val="004F2D29"/>
    <w:rsid w:val="004F38B8"/>
    <w:rsid w:val="004F3C75"/>
    <w:rsid w:val="004F5BD1"/>
    <w:rsid w:val="004F5EFD"/>
    <w:rsid w:val="004F680F"/>
    <w:rsid w:val="004F7A38"/>
    <w:rsid w:val="0050137C"/>
    <w:rsid w:val="00502117"/>
    <w:rsid w:val="005038F5"/>
    <w:rsid w:val="00503E6D"/>
    <w:rsid w:val="00503EE0"/>
    <w:rsid w:val="00504EE0"/>
    <w:rsid w:val="0050535B"/>
    <w:rsid w:val="00505EB1"/>
    <w:rsid w:val="00506046"/>
    <w:rsid w:val="005061E3"/>
    <w:rsid w:val="005074B6"/>
    <w:rsid w:val="00510478"/>
    <w:rsid w:val="005104BB"/>
    <w:rsid w:val="00511841"/>
    <w:rsid w:val="00511A6D"/>
    <w:rsid w:val="00512153"/>
    <w:rsid w:val="00514468"/>
    <w:rsid w:val="00514DDE"/>
    <w:rsid w:val="00515ECB"/>
    <w:rsid w:val="00520331"/>
    <w:rsid w:val="00521B6A"/>
    <w:rsid w:val="0052234D"/>
    <w:rsid w:val="00522EE4"/>
    <w:rsid w:val="005231CD"/>
    <w:rsid w:val="00523217"/>
    <w:rsid w:val="00524632"/>
    <w:rsid w:val="0052542B"/>
    <w:rsid w:val="00525B92"/>
    <w:rsid w:val="00526159"/>
    <w:rsid w:val="00526D6D"/>
    <w:rsid w:val="00527000"/>
    <w:rsid w:val="00527D19"/>
    <w:rsid w:val="00530312"/>
    <w:rsid w:val="00530783"/>
    <w:rsid w:val="00531B6D"/>
    <w:rsid w:val="005341A3"/>
    <w:rsid w:val="00534D2C"/>
    <w:rsid w:val="00534D81"/>
    <w:rsid w:val="00536B89"/>
    <w:rsid w:val="00536CE1"/>
    <w:rsid w:val="00537533"/>
    <w:rsid w:val="005401AF"/>
    <w:rsid w:val="00540486"/>
    <w:rsid w:val="00540586"/>
    <w:rsid w:val="005417CD"/>
    <w:rsid w:val="00541E39"/>
    <w:rsid w:val="00542D7E"/>
    <w:rsid w:val="00543389"/>
    <w:rsid w:val="005438C6"/>
    <w:rsid w:val="00543C52"/>
    <w:rsid w:val="0054621E"/>
    <w:rsid w:val="00551421"/>
    <w:rsid w:val="00552A9C"/>
    <w:rsid w:val="005535E3"/>
    <w:rsid w:val="00554930"/>
    <w:rsid w:val="00554CC3"/>
    <w:rsid w:val="005552B5"/>
    <w:rsid w:val="00556658"/>
    <w:rsid w:val="00556A53"/>
    <w:rsid w:val="0055774F"/>
    <w:rsid w:val="005578DD"/>
    <w:rsid w:val="00557BF4"/>
    <w:rsid w:val="005607C4"/>
    <w:rsid w:val="00560DD5"/>
    <w:rsid w:val="00562454"/>
    <w:rsid w:val="0056434A"/>
    <w:rsid w:val="005658E2"/>
    <w:rsid w:val="005660B4"/>
    <w:rsid w:val="0056695E"/>
    <w:rsid w:val="00566C96"/>
    <w:rsid w:val="00567818"/>
    <w:rsid w:val="00570790"/>
    <w:rsid w:val="00571641"/>
    <w:rsid w:val="005720BF"/>
    <w:rsid w:val="00572D29"/>
    <w:rsid w:val="00572D3B"/>
    <w:rsid w:val="00572D8A"/>
    <w:rsid w:val="00572E71"/>
    <w:rsid w:val="00573278"/>
    <w:rsid w:val="005736E3"/>
    <w:rsid w:val="00575829"/>
    <w:rsid w:val="00575E1B"/>
    <w:rsid w:val="00576C00"/>
    <w:rsid w:val="00580275"/>
    <w:rsid w:val="005803CD"/>
    <w:rsid w:val="00580B63"/>
    <w:rsid w:val="005816FC"/>
    <w:rsid w:val="00581869"/>
    <w:rsid w:val="005838F8"/>
    <w:rsid w:val="00583B84"/>
    <w:rsid w:val="00583D2D"/>
    <w:rsid w:val="0058430F"/>
    <w:rsid w:val="00584916"/>
    <w:rsid w:val="00584C2C"/>
    <w:rsid w:val="00584FE1"/>
    <w:rsid w:val="005856C6"/>
    <w:rsid w:val="005861B6"/>
    <w:rsid w:val="00586608"/>
    <w:rsid w:val="00587626"/>
    <w:rsid w:val="00587CD5"/>
    <w:rsid w:val="00590360"/>
    <w:rsid w:val="00591721"/>
    <w:rsid w:val="00592064"/>
    <w:rsid w:val="00593262"/>
    <w:rsid w:val="0059365D"/>
    <w:rsid w:val="005943CB"/>
    <w:rsid w:val="00594456"/>
    <w:rsid w:val="00594CB1"/>
    <w:rsid w:val="00594D9A"/>
    <w:rsid w:val="00595261"/>
    <w:rsid w:val="005967C6"/>
    <w:rsid w:val="00596C14"/>
    <w:rsid w:val="005A031D"/>
    <w:rsid w:val="005A06D4"/>
    <w:rsid w:val="005A0EB6"/>
    <w:rsid w:val="005A0EE0"/>
    <w:rsid w:val="005A160A"/>
    <w:rsid w:val="005A1836"/>
    <w:rsid w:val="005A185B"/>
    <w:rsid w:val="005A2798"/>
    <w:rsid w:val="005A3617"/>
    <w:rsid w:val="005A384F"/>
    <w:rsid w:val="005A56A4"/>
    <w:rsid w:val="005A6341"/>
    <w:rsid w:val="005A6511"/>
    <w:rsid w:val="005A69FA"/>
    <w:rsid w:val="005A6EB7"/>
    <w:rsid w:val="005A7196"/>
    <w:rsid w:val="005A7B5B"/>
    <w:rsid w:val="005B0DB3"/>
    <w:rsid w:val="005B1537"/>
    <w:rsid w:val="005B3518"/>
    <w:rsid w:val="005B41CA"/>
    <w:rsid w:val="005B71FB"/>
    <w:rsid w:val="005B7D49"/>
    <w:rsid w:val="005C1A32"/>
    <w:rsid w:val="005C1B2E"/>
    <w:rsid w:val="005C2650"/>
    <w:rsid w:val="005C2DDC"/>
    <w:rsid w:val="005C52A4"/>
    <w:rsid w:val="005C669F"/>
    <w:rsid w:val="005C6D04"/>
    <w:rsid w:val="005C7953"/>
    <w:rsid w:val="005D0D3F"/>
    <w:rsid w:val="005D0FEB"/>
    <w:rsid w:val="005D112C"/>
    <w:rsid w:val="005D1834"/>
    <w:rsid w:val="005D259B"/>
    <w:rsid w:val="005D28B7"/>
    <w:rsid w:val="005D52FB"/>
    <w:rsid w:val="005D53B6"/>
    <w:rsid w:val="005D6411"/>
    <w:rsid w:val="005D6D7E"/>
    <w:rsid w:val="005D725E"/>
    <w:rsid w:val="005E1EE9"/>
    <w:rsid w:val="005E2645"/>
    <w:rsid w:val="005E3318"/>
    <w:rsid w:val="005E4A61"/>
    <w:rsid w:val="005E53B1"/>
    <w:rsid w:val="005E5820"/>
    <w:rsid w:val="005E624A"/>
    <w:rsid w:val="005E6622"/>
    <w:rsid w:val="005E737E"/>
    <w:rsid w:val="005E7F95"/>
    <w:rsid w:val="005F1099"/>
    <w:rsid w:val="005F13D3"/>
    <w:rsid w:val="005F1DA2"/>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4694"/>
    <w:rsid w:val="00614724"/>
    <w:rsid w:val="0061511E"/>
    <w:rsid w:val="0061554A"/>
    <w:rsid w:val="00615EB2"/>
    <w:rsid w:val="00616684"/>
    <w:rsid w:val="0061704B"/>
    <w:rsid w:val="00617974"/>
    <w:rsid w:val="006206BB"/>
    <w:rsid w:val="00621192"/>
    <w:rsid w:val="006211BC"/>
    <w:rsid w:val="00621F61"/>
    <w:rsid w:val="00621FB7"/>
    <w:rsid w:val="006222B0"/>
    <w:rsid w:val="00622F8D"/>
    <w:rsid w:val="00623579"/>
    <w:rsid w:val="00624399"/>
    <w:rsid w:val="00624D12"/>
    <w:rsid w:val="006250FB"/>
    <w:rsid w:val="00626214"/>
    <w:rsid w:val="00626273"/>
    <w:rsid w:val="00626D6A"/>
    <w:rsid w:val="00626E96"/>
    <w:rsid w:val="006274A4"/>
    <w:rsid w:val="006278C0"/>
    <w:rsid w:val="00630290"/>
    <w:rsid w:val="00631481"/>
    <w:rsid w:val="00631E30"/>
    <w:rsid w:val="00632E3D"/>
    <w:rsid w:val="00633253"/>
    <w:rsid w:val="006343B2"/>
    <w:rsid w:val="00634663"/>
    <w:rsid w:val="00634978"/>
    <w:rsid w:val="00634F83"/>
    <w:rsid w:val="00635656"/>
    <w:rsid w:val="00635C86"/>
    <w:rsid w:val="00637636"/>
    <w:rsid w:val="00637A2D"/>
    <w:rsid w:val="00640D75"/>
    <w:rsid w:val="00641878"/>
    <w:rsid w:val="00644A8B"/>
    <w:rsid w:val="00645C20"/>
    <w:rsid w:val="00647A68"/>
    <w:rsid w:val="00647D86"/>
    <w:rsid w:val="00652006"/>
    <w:rsid w:val="0065246C"/>
    <w:rsid w:val="00654D27"/>
    <w:rsid w:val="00654F15"/>
    <w:rsid w:val="0065549B"/>
    <w:rsid w:val="00662459"/>
    <w:rsid w:val="006637A3"/>
    <w:rsid w:val="006651FC"/>
    <w:rsid w:val="00665241"/>
    <w:rsid w:val="00665277"/>
    <w:rsid w:val="006655A4"/>
    <w:rsid w:val="0066565D"/>
    <w:rsid w:val="0066591D"/>
    <w:rsid w:val="006664DF"/>
    <w:rsid w:val="00667667"/>
    <w:rsid w:val="00667719"/>
    <w:rsid w:val="00671C60"/>
    <w:rsid w:val="00672625"/>
    <w:rsid w:val="00672E7A"/>
    <w:rsid w:val="006736ED"/>
    <w:rsid w:val="00673CDD"/>
    <w:rsid w:val="00673DC6"/>
    <w:rsid w:val="00674568"/>
    <w:rsid w:val="00674C23"/>
    <w:rsid w:val="00674FE7"/>
    <w:rsid w:val="00675241"/>
    <w:rsid w:val="00676FF0"/>
    <w:rsid w:val="00677C85"/>
    <w:rsid w:val="00680748"/>
    <w:rsid w:val="00680AF7"/>
    <w:rsid w:val="006817C2"/>
    <w:rsid w:val="00681CD4"/>
    <w:rsid w:val="0068211C"/>
    <w:rsid w:val="0068250F"/>
    <w:rsid w:val="006827E4"/>
    <w:rsid w:val="00684BBD"/>
    <w:rsid w:val="006851AB"/>
    <w:rsid w:val="006867F9"/>
    <w:rsid w:val="00686948"/>
    <w:rsid w:val="00690452"/>
    <w:rsid w:val="00691CC4"/>
    <w:rsid w:val="0069273F"/>
    <w:rsid w:val="00693BED"/>
    <w:rsid w:val="006942F4"/>
    <w:rsid w:val="006950B9"/>
    <w:rsid w:val="00695779"/>
    <w:rsid w:val="00695965"/>
    <w:rsid w:val="006960B5"/>
    <w:rsid w:val="00696F1E"/>
    <w:rsid w:val="0069790B"/>
    <w:rsid w:val="006A1B9F"/>
    <w:rsid w:val="006A1FCD"/>
    <w:rsid w:val="006A3251"/>
    <w:rsid w:val="006A3E2C"/>
    <w:rsid w:val="006A3F90"/>
    <w:rsid w:val="006A5CF6"/>
    <w:rsid w:val="006A7B8B"/>
    <w:rsid w:val="006B04CE"/>
    <w:rsid w:val="006B11BE"/>
    <w:rsid w:val="006B17E1"/>
    <w:rsid w:val="006B241D"/>
    <w:rsid w:val="006B3540"/>
    <w:rsid w:val="006B4C68"/>
    <w:rsid w:val="006B4F1A"/>
    <w:rsid w:val="006B53E2"/>
    <w:rsid w:val="006B5478"/>
    <w:rsid w:val="006B57DD"/>
    <w:rsid w:val="006C0080"/>
    <w:rsid w:val="006C06FE"/>
    <w:rsid w:val="006C098C"/>
    <w:rsid w:val="006C1381"/>
    <w:rsid w:val="006C1C1B"/>
    <w:rsid w:val="006C1DD6"/>
    <w:rsid w:val="006C21D4"/>
    <w:rsid w:val="006C339E"/>
    <w:rsid w:val="006C346C"/>
    <w:rsid w:val="006C3518"/>
    <w:rsid w:val="006C3FD7"/>
    <w:rsid w:val="006C44E9"/>
    <w:rsid w:val="006C450A"/>
    <w:rsid w:val="006C4C77"/>
    <w:rsid w:val="006C7539"/>
    <w:rsid w:val="006C7D23"/>
    <w:rsid w:val="006D1BF1"/>
    <w:rsid w:val="006D2513"/>
    <w:rsid w:val="006D34BA"/>
    <w:rsid w:val="006D3F29"/>
    <w:rsid w:val="006D3FDB"/>
    <w:rsid w:val="006D4845"/>
    <w:rsid w:val="006D658C"/>
    <w:rsid w:val="006D77EE"/>
    <w:rsid w:val="006E0491"/>
    <w:rsid w:val="006E0BAE"/>
    <w:rsid w:val="006E25C5"/>
    <w:rsid w:val="006E282A"/>
    <w:rsid w:val="006E3482"/>
    <w:rsid w:val="006E492F"/>
    <w:rsid w:val="006E4DEC"/>
    <w:rsid w:val="006E59A3"/>
    <w:rsid w:val="006E59B8"/>
    <w:rsid w:val="006E5D40"/>
    <w:rsid w:val="006E5F96"/>
    <w:rsid w:val="006E61CE"/>
    <w:rsid w:val="006E6627"/>
    <w:rsid w:val="006E67EA"/>
    <w:rsid w:val="006F065A"/>
    <w:rsid w:val="006F0A51"/>
    <w:rsid w:val="006F183C"/>
    <w:rsid w:val="006F1F78"/>
    <w:rsid w:val="006F1FDC"/>
    <w:rsid w:val="006F2050"/>
    <w:rsid w:val="006F255E"/>
    <w:rsid w:val="006F3543"/>
    <w:rsid w:val="006F354E"/>
    <w:rsid w:val="006F380D"/>
    <w:rsid w:val="006F3D64"/>
    <w:rsid w:val="006F48F8"/>
    <w:rsid w:val="006F4968"/>
    <w:rsid w:val="006F5D4E"/>
    <w:rsid w:val="006F647A"/>
    <w:rsid w:val="006F746C"/>
    <w:rsid w:val="006F7A4C"/>
    <w:rsid w:val="00700561"/>
    <w:rsid w:val="00700B1B"/>
    <w:rsid w:val="00700BA1"/>
    <w:rsid w:val="00702AC5"/>
    <w:rsid w:val="00703235"/>
    <w:rsid w:val="007045E2"/>
    <w:rsid w:val="00704607"/>
    <w:rsid w:val="0070462F"/>
    <w:rsid w:val="00704FE4"/>
    <w:rsid w:val="00705DFE"/>
    <w:rsid w:val="00710B02"/>
    <w:rsid w:val="007117C0"/>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33B9"/>
    <w:rsid w:val="0073427D"/>
    <w:rsid w:val="0073540A"/>
    <w:rsid w:val="00736BFB"/>
    <w:rsid w:val="007412C3"/>
    <w:rsid w:val="0074344B"/>
    <w:rsid w:val="00743CA8"/>
    <w:rsid w:val="007444F7"/>
    <w:rsid w:val="007459B8"/>
    <w:rsid w:val="00745E9A"/>
    <w:rsid w:val="00746C78"/>
    <w:rsid w:val="0075079F"/>
    <w:rsid w:val="00750EA1"/>
    <w:rsid w:val="00752484"/>
    <w:rsid w:val="007575E9"/>
    <w:rsid w:val="007577DC"/>
    <w:rsid w:val="0076214F"/>
    <w:rsid w:val="00764377"/>
    <w:rsid w:val="007649B9"/>
    <w:rsid w:val="00765FC2"/>
    <w:rsid w:val="00770B75"/>
    <w:rsid w:val="007714FF"/>
    <w:rsid w:val="00771668"/>
    <w:rsid w:val="007724C7"/>
    <w:rsid w:val="00772BE1"/>
    <w:rsid w:val="007730F1"/>
    <w:rsid w:val="007737B6"/>
    <w:rsid w:val="00774612"/>
    <w:rsid w:val="00774AF0"/>
    <w:rsid w:val="00774F22"/>
    <w:rsid w:val="00782307"/>
    <w:rsid w:val="00782C5C"/>
    <w:rsid w:val="00782F74"/>
    <w:rsid w:val="00783551"/>
    <w:rsid w:val="0078387B"/>
    <w:rsid w:val="00784F23"/>
    <w:rsid w:val="007851FC"/>
    <w:rsid w:val="007855EA"/>
    <w:rsid w:val="0078560A"/>
    <w:rsid w:val="00785BF8"/>
    <w:rsid w:val="00786635"/>
    <w:rsid w:val="00787012"/>
    <w:rsid w:val="00787544"/>
    <w:rsid w:val="007907EB"/>
    <w:rsid w:val="00790C9D"/>
    <w:rsid w:val="00790CB6"/>
    <w:rsid w:val="00791DCE"/>
    <w:rsid w:val="0079226E"/>
    <w:rsid w:val="00793648"/>
    <w:rsid w:val="007937BB"/>
    <w:rsid w:val="00793C28"/>
    <w:rsid w:val="00794935"/>
    <w:rsid w:val="00795637"/>
    <w:rsid w:val="00796760"/>
    <w:rsid w:val="00796975"/>
    <w:rsid w:val="007972CE"/>
    <w:rsid w:val="007974CF"/>
    <w:rsid w:val="007A05ED"/>
    <w:rsid w:val="007A15DB"/>
    <w:rsid w:val="007A1CE2"/>
    <w:rsid w:val="007A2244"/>
    <w:rsid w:val="007A45CE"/>
    <w:rsid w:val="007A55B0"/>
    <w:rsid w:val="007A65AE"/>
    <w:rsid w:val="007A678D"/>
    <w:rsid w:val="007A6A94"/>
    <w:rsid w:val="007A6C54"/>
    <w:rsid w:val="007A6E48"/>
    <w:rsid w:val="007A705F"/>
    <w:rsid w:val="007A78FE"/>
    <w:rsid w:val="007A7FCD"/>
    <w:rsid w:val="007B0187"/>
    <w:rsid w:val="007B0DDC"/>
    <w:rsid w:val="007B11DD"/>
    <w:rsid w:val="007B153F"/>
    <w:rsid w:val="007B2073"/>
    <w:rsid w:val="007B24CD"/>
    <w:rsid w:val="007B262D"/>
    <w:rsid w:val="007B4A55"/>
    <w:rsid w:val="007B5415"/>
    <w:rsid w:val="007B5418"/>
    <w:rsid w:val="007C0902"/>
    <w:rsid w:val="007C0E6F"/>
    <w:rsid w:val="007C1F3E"/>
    <w:rsid w:val="007C2B34"/>
    <w:rsid w:val="007C3890"/>
    <w:rsid w:val="007C3E50"/>
    <w:rsid w:val="007C3F92"/>
    <w:rsid w:val="007C62EF"/>
    <w:rsid w:val="007C709C"/>
    <w:rsid w:val="007C7F32"/>
    <w:rsid w:val="007D0172"/>
    <w:rsid w:val="007D0449"/>
    <w:rsid w:val="007D0F81"/>
    <w:rsid w:val="007D1BA4"/>
    <w:rsid w:val="007D2AAE"/>
    <w:rsid w:val="007D2C27"/>
    <w:rsid w:val="007D407D"/>
    <w:rsid w:val="007D4512"/>
    <w:rsid w:val="007D670D"/>
    <w:rsid w:val="007D7A92"/>
    <w:rsid w:val="007D7EA9"/>
    <w:rsid w:val="007E06DB"/>
    <w:rsid w:val="007E2855"/>
    <w:rsid w:val="007E3C8A"/>
    <w:rsid w:val="007E3F10"/>
    <w:rsid w:val="007E4610"/>
    <w:rsid w:val="007E7D06"/>
    <w:rsid w:val="007F0B07"/>
    <w:rsid w:val="007F0D98"/>
    <w:rsid w:val="007F0F2B"/>
    <w:rsid w:val="007F1CE6"/>
    <w:rsid w:val="007F2E0A"/>
    <w:rsid w:val="007F4762"/>
    <w:rsid w:val="007F47D9"/>
    <w:rsid w:val="007F6A7A"/>
    <w:rsid w:val="007F78B0"/>
    <w:rsid w:val="007F7C1B"/>
    <w:rsid w:val="007F7C6E"/>
    <w:rsid w:val="007F7CEF"/>
    <w:rsid w:val="0080044F"/>
    <w:rsid w:val="00800C2E"/>
    <w:rsid w:val="00802DDE"/>
    <w:rsid w:val="008032DD"/>
    <w:rsid w:val="008037C0"/>
    <w:rsid w:val="0080435B"/>
    <w:rsid w:val="008052B0"/>
    <w:rsid w:val="00805D85"/>
    <w:rsid w:val="00806546"/>
    <w:rsid w:val="00807513"/>
    <w:rsid w:val="00807953"/>
    <w:rsid w:val="008108A4"/>
    <w:rsid w:val="008108BA"/>
    <w:rsid w:val="00810DB9"/>
    <w:rsid w:val="008138BD"/>
    <w:rsid w:val="00813FDE"/>
    <w:rsid w:val="008147E7"/>
    <w:rsid w:val="00814A8E"/>
    <w:rsid w:val="00815199"/>
    <w:rsid w:val="00815E6F"/>
    <w:rsid w:val="00817315"/>
    <w:rsid w:val="0082146C"/>
    <w:rsid w:val="008217FB"/>
    <w:rsid w:val="00821E01"/>
    <w:rsid w:val="008225C9"/>
    <w:rsid w:val="00822631"/>
    <w:rsid w:val="00822A57"/>
    <w:rsid w:val="008234B0"/>
    <w:rsid w:val="00823521"/>
    <w:rsid w:val="00824CBF"/>
    <w:rsid w:val="008254AA"/>
    <w:rsid w:val="00825F93"/>
    <w:rsid w:val="00826653"/>
    <w:rsid w:val="00827DE9"/>
    <w:rsid w:val="00831E60"/>
    <w:rsid w:val="00832487"/>
    <w:rsid w:val="008348E4"/>
    <w:rsid w:val="0083498B"/>
    <w:rsid w:val="00834D1A"/>
    <w:rsid w:val="008351EE"/>
    <w:rsid w:val="00836007"/>
    <w:rsid w:val="00841729"/>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339E"/>
    <w:rsid w:val="008642E9"/>
    <w:rsid w:val="00864921"/>
    <w:rsid w:val="0086664F"/>
    <w:rsid w:val="00866BFC"/>
    <w:rsid w:val="0086736A"/>
    <w:rsid w:val="008674B6"/>
    <w:rsid w:val="008676F3"/>
    <w:rsid w:val="00867D4F"/>
    <w:rsid w:val="00871B14"/>
    <w:rsid w:val="00871F8E"/>
    <w:rsid w:val="008721DD"/>
    <w:rsid w:val="00872276"/>
    <w:rsid w:val="00872E44"/>
    <w:rsid w:val="00873017"/>
    <w:rsid w:val="00873C21"/>
    <w:rsid w:val="00873F89"/>
    <w:rsid w:val="008740E2"/>
    <w:rsid w:val="00876268"/>
    <w:rsid w:val="008767E4"/>
    <w:rsid w:val="0087683D"/>
    <w:rsid w:val="00877121"/>
    <w:rsid w:val="00880BFC"/>
    <w:rsid w:val="00881271"/>
    <w:rsid w:val="00881B97"/>
    <w:rsid w:val="00881FC6"/>
    <w:rsid w:val="00882C99"/>
    <w:rsid w:val="00883945"/>
    <w:rsid w:val="008843C0"/>
    <w:rsid w:val="0088570E"/>
    <w:rsid w:val="00885AEF"/>
    <w:rsid w:val="008871BE"/>
    <w:rsid w:val="00887F56"/>
    <w:rsid w:val="008909A1"/>
    <w:rsid w:val="00890DB2"/>
    <w:rsid w:val="008923D0"/>
    <w:rsid w:val="0089240C"/>
    <w:rsid w:val="00892B7E"/>
    <w:rsid w:val="00892D09"/>
    <w:rsid w:val="008932FD"/>
    <w:rsid w:val="00893675"/>
    <w:rsid w:val="00894407"/>
    <w:rsid w:val="00895AF0"/>
    <w:rsid w:val="00895C97"/>
    <w:rsid w:val="0089639D"/>
    <w:rsid w:val="00896D79"/>
    <w:rsid w:val="00897D59"/>
    <w:rsid w:val="008A005F"/>
    <w:rsid w:val="008A159B"/>
    <w:rsid w:val="008A16BE"/>
    <w:rsid w:val="008A1B54"/>
    <w:rsid w:val="008A1DE9"/>
    <w:rsid w:val="008A401F"/>
    <w:rsid w:val="008A5A76"/>
    <w:rsid w:val="008A689A"/>
    <w:rsid w:val="008A6E06"/>
    <w:rsid w:val="008B2D5E"/>
    <w:rsid w:val="008B37DF"/>
    <w:rsid w:val="008B48C6"/>
    <w:rsid w:val="008B520B"/>
    <w:rsid w:val="008B564C"/>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571"/>
    <w:rsid w:val="008D4DCD"/>
    <w:rsid w:val="008D4E10"/>
    <w:rsid w:val="008D5677"/>
    <w:rsid w:val="008D6489"/>
    <w:rsid w:val="008D6C90"/>
    <w:rsid w:val="008D7010"/>
    <w:rsid w:val="008D7025"/>
    <w:rsid w:val="008D7C99"/>
    <w:rsid w:val="008D7F12"/>
    <w:rsid w:val="008E0238"/>
    <w:rsid w:val="008E1598"/>
    <w:rsid w:val="008E166F"/>
    <w:rsid w:val="008E3695"/>
    <w:rsid w:val="008E4093"/>
    <w:rsid w:val="008E4468"/>
    <w:rsid w:val="008E4DEC"/>
    <w:rsid w:val="008E4F2B"/>
    <w:rsid w:val="008E55AE"/>
    <w:rsid w:val="008E663F"/>
    <w:rsid w:val="008E67CE"/>
    <w:rsid w:val="008E6929"/>
    <w:rsid w:val="008E69BF"/>
    <w:rsid w:val="008E7DE7"/>
    <w:rsid w:val="008F0ABB"/>
    <w:rsid w:val="008F1200"/>
    <w:rsid w:val="008F1C35"/>
    <w:rsid w:val="008F1EF5"/>
    <w:rsid w:val="008F356B"/>
    <w:rsid w:val="008F38C7"/>
    <w:rsid w:val="008F3C4D"/>
    <w:rsid w:val="008F7446"/>
    <w:rsid w:val="008F760B"/>
    <w:rsid w:val="00900412"/>
    <w:rsid w:val="00900C1A"/>
    <w:rsid w:val="00901D10"/>
    <w:rsid w:val="009024D6"/>
    <w:rsid w:val="009032EB"/>
    <w:rsid w:val="009041C1"/>
    <w:rsid w:val="009051CC"/>
    <w:rsid w:val="009052FB"/>
    <w:rsid w:val="00905804"/>
    <w:rsid w:val="00906533"/>
    <w:rsid w:val="00906BA4"/>
    <w:rsid w:val="009070F0"/>
    <w:rsid w:val="00910F15"/>
    <w:rsid w:val="0091110C"/>
    <w:rsid w:val="0091164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7E2"/>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5FBB"/>
    <w:rsid w:val="00956692"/>
    <w:rsid w:val="00957DF4"/>
    <w:rsid w:val="00960C1E"/>
    <w:rsid w:val="00960E2D"/>
    <w:rsid w:val="00961036"/>
    <w:rsid w:val="00962215"/>
    <w:rsid w:val="009623C7"/>
    <w:rsid w:val="00964535"/>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813A9"/>
    <w:rsid w:val="009815CD"/>
    <w:rsid w:val="009816AF"/>
    <w:rsid w:val="0098193C"/>
    <w:rsid w:val="00981EAD"/>
    <w:rsid w:val="00981EBA"/>
    <w:rsid w:val="0098301A"/>
    <w:rsid w:val="00983E59"/>
    <w:rsid w:val="00984DC8"/>
    <w:rsid w:val="009852AA"/>
    <w:rsid w:val="009852B1"/>
    <w:rsid w:val="0098781B"/>
    <w:rsid w:val="0099006D"/>
    <w:rsid w:val="00994972"/>
    <w:rsid w:val="00994DDF"/>
    <w:rsid w:val="00994EB9"/>
    <w:rsid w:val="00995920"/>
    <w:rsid w:val="00995FE2"/>
    <w:rsid w:val="00996B5E"/>
    <w:rsid w:val="00996E99"/>
    <w:rsid w:val="00996F71"/>
    <w:rsid w:val="009978A4"/>
    <w:rsid w:val="009A2576"/>
    <w:rsid w:val="009A2FD9"/>
    <w:rsid w:val="009A300E"/>
    <w:rsid w:val="009A38B6"/>
    <w:rsid w:val="009A59F3"/>
    <w:rsid w:val="009A63B9"/>
    <w:rsid w:val="009A68A0"/>
    <w:rsid w:val="009B202B"/>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AE9"/>
    <w:rsid w:val="009D2206"/>
    <w:rsid w:val="009D325B"/>
    <w:rsid w:val="009D36DA"/>
    <w:rsid w:val="009D3BAC"/>
    <w:rsid w:val="009D3C8E"/>
    <w:rsid w:val="009D4FE9"/>
    <w:rsid w:val="009D594F"/>
    <w:rsid w:val="009D624F"/>
    <w:rsid w:val="009D694A"/>
    <w:rsid w:val="009E0C7F"/>
    <w:rsid w:val="009E1997"/>
    <w:rsid w:val="009E1CE8"/>
    <w:rsid w:val="009E3539"/>
    <w:rsid w:val="009E4092"/>
    <w:rsid w:val="009E4956"/>
    <w:rsid w:val="009E65DD"/>
    <w:rsid w:val="009F0C46"/>
    <w:rsid w:val="009F1D78"/>
    <w:rsid w:val="009F2698"/>
    <w:rsid w:val="009F2716"/>
    <w:rsid w:val="009F2DBE"/>
    <w:rsid w:val="009F360C"/>
    <w:rsid w:val="009F3CD6"/>
    <w:rsid w:val="009F3D34"/>
    <w:rsid w:val="009F4D80"/>
    <w:rsid w:val="009F4FB2"/>
    <w:rsid w:val="009F5289"/>
    <w:rsid w:val="009F5514"/>
    <w:rsid w:val="009F665C"/>
    <w:rsid w:val="009F7ECF"/>
    <w:rsid w:val="00A0023F"/>
    <w:rsid w:val="00A015E5"/>
    <w:rsid w:val="00A01D56"/>
    <w:rsid w:val="00A040C3"/>
    <w:rsid w:val="00A042C1"/>
    <w:rsid w:val="00A048BC"/>
    <w:rsid w:val="00A04B90"/>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68A"/>
    <w:rsid w:val="00A216AA"/>
    <w:rsid w:val="00A2183E"/>
    <w:rsid w:val="00A21F4C"/>
    <w:rsid w:val="00A2308A"/>
    <w:rsid w:val="00A236E1"/>
    <w:rsid w:val="00A241C8"/>
    <w:rsid w:val="00A253DC"/>
    <w:rsid w:val="00A25BCB"/>
    <w:rsid w:val="00A265CE"/>
    <w:rsid w:val="00A27932"/>
    <w:rsid w:val="00A30A91"/>
    <w:rsid w:val="00A3103C"/>
    <w:rsid w:val="00A3295F"/>
    <w:rsid w:val="00A32FCA"/>
    <w:rsid w:val="00A33D1E"/>
    <w:rsid w:val="00A34C6F"/>
    <w:rsid w:val="00A34D46"/>
    <w:rsid w:val="00A35654"/>
    <w:rsid w:val="00A369A6"/>
    <w:rsid w:val="00A36D82"/>
    <w:rsid w:val="00A373F4"/>
    <w:rsid w:val="00A37B44"/>
    <w:rsid w:val="00A40368"/>
    <w:rsid w:val="00A40B7C"/>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18EF"/>
    <w:rsid w:val="00A62856"/>
    <w:rsid w:val="00A64045"/>
    <w:rsid w:val="00A640E4"/>
    <w:rsid w:val="00A64DFC"/>
    <w:rsid w:val="00A6622C"/>
    <w:rsid w:val="00A67456"/>
    <w:rsid w:val="00A7110F"/>
    <w:rsid w:val="00A7114C"/>
    <w:rsid w:val="00A72EB5"/>
    <w:rsid w:val="00A7382F"/>
    <w:rsid w:val="00A73B8C"/>
    <w:rsid w:val="00A74286"/>
    <w:rsid w:val="00A74CD2"/>
    <w:rsid w:val="00A74DE5"/>
    <w:rsid w:val="00A75277"/>
    <w:rsid w:val="00A752FE"/>
    <w:rsid w:val="00A779DC"/>
    <w:rsid w:val="00A810AB"/>
    <w:rsid w:val="00A812B5"/>
    <w:rsid w:val="00A818E2"/>
    <w:rsid w:val="00A82FE0"/>
    <w:rsid w:val="00A837B1"/>
    <w:rsid w:val="00A83A72"/>
    <w:rsid w:val="00A83F37"/>
    <w:rsid w:val="00A8431B"/>
    <w:rsid w:val="00A8482E"/>
    <w:rsid w:val="00A84C96"/>
    <w:rsid w:val="00A84F27"/>
    <w:rsid w:val="00A86D92"/>
    <w:rsid w:val="00A86DF5"/>
    <w:rsid w:val="00A87560"/>
    <w:rsid w:val="00A90D09"/>
    <w:rsid w:val="00A91ABA"/>
    <w:rsid w:val="00A91BE5"/>
    <w:rsid w:val="00A920A8"/>
    <w:rsid w:val="00A94A83"/>
    <w:rsid w:val="00A95275"/>
    <w:rsid w:val="00A9535D"/>
    <w:rsid w:val="00A97002"/>
    <w:rsid w:val="00A97531"/>
    <w:rsid w:val="00A97A29"/>
    <w:rsid w:val="00A97EE2"/>
    <w:rsid w:val="00AA0A98"/>
    <w:rsid w:val="00AA1525"/>
    <w:rsid w:val="00AA1F2C"/>
    <w:rsid w:val="00AA2025"/>
    <w:rsid w:val="00AA2334"/>
    <w:rsid w:val="00AA2506"/>
    <w:rsid w:val="00AA27DA"/>
    <w:rsid w:val="00AA3328"/>
    <w:rsid w:val="00AA471D"/>
    <w:rsid w:val="00AA4EF1"/>
    <w:rsid w:val="00AA581F"/>
    <w:rsid w:val="00AA598D"/>
    <w:rsid w:val="00AA5AE7"/>
    <w:rsid w:val="00AA7092"/>
    <w:rsid w:val="00AA78DC"/>
    <w:rsid w:val="00AB041C"/>
    <w:rsid w:val="00AB1270"/>
    <w:rsid w:val="00AB199C"/>
    <w:rsid w:val="00AB1FA3"/>
    <w:rsid w:val="00AB52DB"/>
    <w:rsid w:val="00AB534B"/>
    <w:rsid w:val="00AB664E"/>
    <w:rsid w:val="00AB7948"/>
    <w:rsid w:val="00AB7B43"/>
    <w:rsid w:val="00AB7E17"/>
    <w:rsid w:val="00AC039F"/>
    <w:rsid w:val="00AC41B5"/>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6FA"/>
    <w:rsid w:val="00AE5B27"/>
    <w:rsid w:val="00AE6801"/>
    <w:rsid w:val="00AE6E53"/>
    <w:rsid w:val="00AE6EDD"/>
    <w:rsid w:val="00AF0EAF"/>
    <w:rsid w:val="00AF1352"/>
    <w:rsid w:val="00AF1CA3"/>
    <w:rsid w:val="00AF1CEF"/>
    <w:rsid w:val="00AF26F7"/>
    <w:rsid w:val="00AF5886"/>
    <w:rsid w:val="00AF67B4"/>
    <w:rsid w:val="00AF6B65"/>
    <w:rsid w:val="00AF738F"/>
    <w:rsid w:val="00B01222"/>
    <w:rsid w:val="00B0187F"/>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AB5"/>
    <w:rsid w:val="00B14EA7"/>
    <w:rsid w:val="00B16275"/>
    <w:rsid w:val="00B165CE"/>
    <w:rsid w:val="00B21369"/>
    <w:rsid w:val="00B22721"/>
    <w:rsid w:val="00B2409C"/>
    <w:rsid w:val="00B24184"/>
    <w:rsid w:val="00B24C9B"/>
    <w:rsid w:val="00B254C6"/>
    <w:rsid w:val="00B25B82"/>
    <w:rsid w:val="00B26F08"/>
    <w:rsid w:val="00B33732"/>
    <w:rsid w:val="00B33834"/>
    <w:rsid w:val="00B33D58"/>
    <w:rsid w:val="00B357D4"/>
    <w:rsid w:val="00B36132"/>
    <w:rsid w:val="00B366A0"/>
    <w:rsid w:val="00B376C0"/>
    <w:rsid w:val="00B403DC"/>
    <w:rsid w:val="00B40620"/>
    <w:rsid w:val="00B40C82"/>
    <w:rsid w:val="00B42F80"/>
    <w:rsid w:val="00B4451A"/>
    <w:rsid w:val="00B44F9B"/>
    <w:rsid w:val="00B458D2"/>
    <w:rsid w:val="00B477AA"/>
    <w:rsid w:val="00B47E81"/>
    <w:rsid w:val="00B5040D"/>
    <w:rsid w:val="00B511B1"/>
    <w:rsid w:val="00B511C4"/>
    <w:rsid w:val="00B51A91"/>
    <w:rsid w:val="00B539A8"/>
    <w:rsid w:val="00B53D88"/>
    <w:rsid w:val="00B53EB1"/>
    <w:rsid w:val="00B554D3"/>
    <w:rsid w:val="00B56174"/>
    <w:rsid w:val="00B57E44"/>
    <w:rsid w:val="00B60981"/>
    <w:rsid w:val="00B60B2D"/>
    <w:rsid w:val="00B61605"/>
    <w:rsid w:val="00B6174C"/>
    <w:rsid w:val="00B6238A"/>
    <w:rsid w:val="00B627F4"/>
    <w:rsid w:val="00B62912"/>
    <w:rsid w:val="00B62AD5"/>
    <w:rsid w:val="00B65B37"/>
    <w:rsid w:val="00B72325"/>
    <w:rsid w:val="00B72880"/>
    <w:rsid w:val="00B73637"/>
    <w:rsid w:val="00B73A57"/>
    <w:rsid w:val="00B76C4A"/>
    <w:rsid w:val="00B77597"/>
    <w:rsid w:val="00B775A7"/>
    <w:rsid w:val="00B803A2"/>
    <w:rsid w:val="00B80D86"/>
    <w:rsid w:val="00B8119C"/>
    <w:rsid w:val="00B835EA"/>
    <w:rsid w:val="00B839C8"/>
    <w:rsid w:val="00B86009"/>
    <w:rsid w:val="00B87131"/>
    <w:rsid w:val="00B87DD9"/>
    <w:rsid w:val="00B92720"/>
    <w:rsid w:val="00B92AD3"/>
    <w:rsid w:val="00B94010"/>
    <w:rsid w:val="00B94097"/>
    <w:rsid w:val="00B95335"/>
    <w:rsid w:val="00B96275"/>
    <w:rsid w:val="00B9631C"/>
    <w:rsid w:val="00B97B96"/>
    <w:rsid w:val="00BA01E3"/>
    <w:rsid w:val="00BA06B2"/>
    <w:rsid w:val="00BA075F"/>
    <w:rsid w:val="00BA0926"/>
    <w:rsid w:val="00BA0C46"/>
    <w:rsid w:val="00BA19EA"/>
    <w:rsid w:val="00BA225A"/>
    <w:rsid w:val="00BA2F73"/>
    <w:rsid w:val="00BA329C"/>
    <w:rsid w:val="00BA38CD"/>
    <w:rsid w:val="00BA3E6D"/>
    <w:rsid w:val="00BA48F6"/>
    <w:rsid w:val="00BA54F5"/>
    <w:rsid w:val="00BA60B8"/>
    <w:rsid w:val="00BA61B0"/>
    <w:rsid w:val="00BA749B"/>
    <w:rsid w:val="00BA7672"/>
    <w:rsid w:val="00BA7C08"/>
    <w:rsid w:val="00BA7FA9"/>
    <w:rsid w:val="00BB14A0"/>
    <w:rsid w:val="00BB151C"/>
    <w:rsid w:val="00BB1A88"/>
    <w:rsid w:val="00BB1B23"/>
    <w:rsid w:val="00BB1F27"/>
    <w:rsid w:val="00BB30AB"/>
    <w:rsid w:val="00BB461B"/>
    <w:rsid w:val="00BB486E"/>
    <w:rsid w:val="00BB5FED"/>
    <w:rsid w:val="00BB62A9"/>
    <w:rsid w:val="00BB7CA0"/>
    <w:rsid w:val="00BC044D"/>
    <w:rsid w:val="00BC0A4E"/>
    <w:rsid w:val="00BC123D"/>
    <w:rsid w:val="00BC14C9"/>
    <w:rsid w:val="00BC1E01"/>
    <w:rsid w:val="00BC3EDC"/>
    <w:rsid w:val="00BC4CBA"/>
    <w:rsid w:val="00BC5902"/>
    <w:rsid w:val="00BC5D8D"/>
    <w:rsid w:val="00BC6403"/>
    <w:rsid w:val="00BC7AF1"/>
    <w:rsid w:val="00BC7F2C"/>
    <w:rsid w:val="00BD030B"/>
    <w:rsid w:val="00BD0F4E"/>
    <w:rsid w:val="00BD0F79"/>
    <w:rsid w:val="00BD2329"/>
    <w:rsid w:val="00BD2469"/>
    <w:rsid w:val="00BD2809"/>
    <w:rsid w:val="00BD3554"/>
    <w:rsid w:val="00BD3719"/>
    <w:rsid w:val="00BD3C18"/>
    <w:rsid w:val="00BD430D"/>
    <w:rsid w:val="00BD4EF8"/>
    <w:rsid w:val="00BD4FFF"/>
    <w:rsid w:val="00BD5325"/>
    <w:rsid w:val="00BD6424"/>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E89"/>
    <w:rsid w:val="00BF25A0"/>
    <w:rsid w:val="00BF2649"/>
    <w:rsid w:val="00BF2D1A"/>
    <w:rsid w:val="00BF633C"/>
    <w:rsid w:val="00BF7A8C"/>
    <w:rsid w:val="00BF7D3F"/>
    <w:rsid w:val="00C004C8"/>
    <w:rsid w:val="00C0297C"/>
    <w:rsid w:val="00C029B2"/>
    <w:rsid w:val="00C032A8"/>
    <w:rsid w:val="00C03BB9"/>
    <w:rsid w:val="00C04487"/>
    <w:rsid w:val="00C04F43"/>
    <w:rsid w:val="00C05B04"/>
    <w:rsid w:val="00C10594"/>
    <w:rsid w:val="00C106B0"/>
    <w:rsid w:val="00C11FA2"/>
    <w:rsid w:val="00C12867"/>
    <w:rsid w:val="00C12AAF"/>
    <w:rsid w:val="00C13610"/>
    <w:rsid w:val="00C13C7A"/>
    <w:rsid w:val="00C14B7E"/>
    <w:rsid w:val="00C14C1B"/>
    <w:rsid w:val="00C15218"/>
    <w:rsid w:val="00C15387"/>
    <w:rsid w:val="00C16DF1"/>
    <w:rsid w:val="00C17326"/>
    <w:rsid w:val="00C21726"/>
    <w:rsid w:val="00C21B95"/>
    <w:rsid w:val="00C22435"/>
    <w:rsid w:val="00C22E4F"/>
    <w:rsid w:val="00C23C1E"/>
    <w:rsid w:val="00C24966"/>
    <w:rsid w:val="00C24A4E"/>
    <w:rsid w:val="00C25464"/>
    <w:rsid w:val="00C26E07"/>
    <w:rsid w:val="00C27666"/>
    <w:rsid w:val="00C30691"/>
    <w:rsid w:val="00C3083F"/>
    <w:rsid w:val="00C30CAB"/>
    <w:rsid w:val="00C317BD"/>
    <w:rsid w:val="00C31F6E"/>
    <w:rsid w:val="00C33684"/>
    <w:rsid w:val="00C340E1"/>
    <w:rsid w:val="00C35260"/>
    <w:rsid w:val="00C355D8"/>
    <w:rsid w:val="00C36613"/>
    <w:rsid w:val="00C36A1E"/>
    <w:rsid w:val="00C3755F"/>
    <w:rsid w:val="00C401DB"/>
    <w:rsid w:val="00C42AC6"/>
    <w:rsid w:val="00C42CC5"/>
    <w:rsid w:val="00C4359B"/>
    <w:rsid w:val="00C44187"/>
    <w:rsid w:val="00C453CA"/>
    <w:rsid w:val="00C50251"/>
    <w:rsid w:val="00C52410"/>
    <w:rsid w:val="00C52D52"/>
    <w:rsid w:val="00C52F79"/>
    <w:rsid w:val="00C52FFB"/>
    <w:rsid w:val="00C541DF"/>
    <w:rsid w:val="00C55BB0"/>
    <w:rsid w:val="00C563DA"/>
    <w:rsid w:val="00C6058A"/>
    <w:rsid w:val="00C61D7F"/>
    <w:rsid w:val="00C644E8"/>
    <w:rsid w:val="00C64F2A"/>
    <w:rsid w:val="00C67F18"/>
    <w:rsid w:val="00C70692"/>
    <w:rsid w:val="00C709C9"/>
    <w:rsid w:val="00C74624"/>
    <w:rsid w:val="00C7467C"/>
    <w:rsid w:val="00C7477A"/>
    <w:rsid w:val="00C82706"/>
    <w:rsid w:val="00C82A59"/>
    <w:rsid w:val="00C82A62"/>
    <w:rsid w:val="00C83B74"/>
    <w:rsid w:val="00C83EBC"/>
    <w:rsid w:val="00C8518D"/>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A0A36"/>
    <w:rsid w:val="00CA0B80"/>
    <w:rsid w:val="00CA13B1"/>
    <w:rsid w:val="00CA2945"/>
    <w:rsid w:val="00CA2DE9"/>
    <w:rsid w:val="00CA2E69"/>
    <w:rsid w:val="00CA302F"/>
    <w:rsid w:val="00CA3B94"/>
    <w:rsid w:val="00CA60AE"/>
    <w:rsid w:val="00CA6A76"/>
    <w:rsid w:val="00CA7707"/>
    <w:rsid w:val="00CB0D81"/>
    <w:rsid w:val="00CB14C6"/>
    <w:rsid w:val="00CB2C07"/>
    <w:rsid w:val="00CB399B"/>
    <w:rsid w:val="00CB5CC5"/>
    <w:rsid w:val="00CB5D8C"/>
    <w:rsid w:val="00CB6128"/>
    <w:rsid w:val="00CB63E6"/>
    <w:rsid w:val="00CB78CF"/>
    <w:rsid w:val="00CB7F3D"/>
    <w:rsid w:val="00CC1086"/>
    <w:rsid w:val="00CC1A1D"/>
    <w:rsid w:val="00CC1C33"/>
    <w:rsid w:val="00CC283E"/>
    <w:rsid w:val="00CC2DD1"/>
    <w:rsid w:val="00CC44E1"/>
    <w:rsid w:val="00CC52F1"/>
    <w:rsid w:val="00CC59CB"/>
    <w:rsid w:val="00CC7632"/>
    <w:rsid w:val="00CC792A"/>
    <w:rsid w:val="00CD1DF0"/>
    <w:rsid w:val="00CD24C7"/>
    <w:rsid w:val="00CD2FE3"/>
    <w:rsid w:val="00CD3F8F"/>
    <w:rsid w:val="00CD4B5B"/>
    <w:rsid w:val="00CD5893"/>
    <w:rsid w:val="00CD63BE"/>
    <w:rsid w:val="00CD68B7"/>
    <w:rsid w:val="00CD7B3C"/>
    <w:rsid w:val="00CD7D80"/>
    <w:rsid w:val="00CD7E5D"/>
    <w:rsid w:val="00CE0E1C"/>
    <w:rsid w:val="00CE1B42"/>
    <w:rsid w:val="00CE5873"/>
    <w:rsid w:val="00CF13F0"/>
    <w:rsid w:val="00CF14E7"/>
    <w:rsid w:val="00CF3F9F"/>
    <w:rsid w:val="00CF57D1"/>
    <w:rsid w:val="00CF6310"/>
    <w:rsid w:val="00D0135E"/>
    <w:rsid w:val="00D0163C"/>
    <w:rsid w:val="00D02360"/>
    <w:rsid w:val="00D02D1B"/>
    <w:rsid w:val="00D0431C"/>
    <w:rsid w:val="00D0446D"/>
    <w:rsid w:val="00D04DEE"/>
    <w:rsid w:val="00D050E6"/>
    <w:rsid w:val="00D07407"/>
    <w:rsid w:val="00D07D6B"/>
    <w:rsid w:val="00D1025E"/>
    <w:rsid w:val="00D105A4"/>
    <w:rsid w:val="00D10F62"/>
    <w:rsid w:val="00D111F9"/>
    <w:rsid w:val="00D125AA"/>
    <w:rsid w:val="00D14746"/>
    <w:rsid w:val="00D151B2"/>
    <w:rsid w:val="00D15DF7"/>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406B6"/>
    <w:rsid w:val="00D412A4"/>
    <w:rsid w:val="00D41EF1"/>
    <w:rsid w:val="00D4305F"/>
    <w:rsid w:val="00D440B2"/>
    <w:rsid w:val="00D4437B"/>
    <w:rsid w:val="00D44AD4"/>
    <w:rsid w:val="00D45375"/>
    <w:rsid w:val="00D4548E"/>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21DB"/>
    <w:rsid w:val="00D62EAF"/>
    <w:rsid w:val="00D636DA"/>
    <w:rsid w:val="00D63869"/>
    <w:rsid w:val="00D639C6"/>
    <w:rsid w:val="00D65B4D"/>
    <w:rsid w:val="00D65EE9"/>
    <w:rsid w:val="00D65FAE"/>
    <w:rsid w:val="00D66059"/>
    <w:rsid w:val="00D66254"/>
    <w:rsid w:val="00D66A92"/>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80814"/>
    <w:rsid w:val="00D81723"/>
    <w:rsid w:val="00D8217D"/>
    <w:rsid w:val="00D825C6"/>
    <w:rsid w:val="00D82A4B"/>
    <w:rsid w:val="00D83907"/>
    <w:rsid w:val="00D84222"/>
    <w:rsid w:val="00D84AC0"/>
    <w:rsid w:val="00D85693"/>
    <w:rsid w:val="00D86B02"/>
    <w:rsid w:val="00D87332"/>
    <w:rsid w:val="00D907AE"/>
    <w:rsid w:val="00D90CB1"/>
    <w:rsid w:val="00D9157D"/>
    <w:rsid w:val="00D92432"/>
    <w:rsid w:val="00D930B8"/>
    <w:rsid w:val="00D93747"/>
    <w:rsid w:val="00D943C4"/>
    <w:rsid w:val="00D94546"/>
    <w:rsid w:val="00D962EA"/>
    <w:rsid w:val="00D9647E"/>
    <w:rsid w:val="00D96BBA"/>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FF"/>
    <w:rsid w:val="00DB618B"/>
    <w:rsid w:val="00DB6941"/>
    <w:rsid w:val="00DB6A22"/>
    <w:rsid w:val="00DB6B1B"/>
    <w:rsid w:val="00DB74D1"/>
    <w:rsid w:val="00DB79FD"/>
    <w:rsid w:val="00DB7C9F"/>
    <w:rsid w:val="00DC0303"/>
    <w:rsid w:val="00DC15D6"/>
    <w:rsid w:val="00DC6BB7"/>
    <w:rsid w:val="00DC7212"/>
    <w:rsid w:val="00DC7C2F"/>
    <w:rsid w:val="00DD0EB9"/>
    <w:rsid w:val="00DD100F"/>
    <w:rsid w:val="00DD10BA"/>
    <w:rsid w:val="00DD2A3A"/>
    <w:rsid w:val="00DD399E"/>
    <w:rsid w:val="00DD3B2C"/>
    <w:rsid w:val="00DD49F6"/>
    <w:rsid w:val="00DD49F9"/>
    <w:rsid w:val="00DD579C"/>
    <w:rsid w:val="00DD57EA"/>
    <w:rsid w:val="00DD619A"/>
    <w:rsid w:val="00DD6585"/>
    <w:rsid w:val="00DE080A"/>
    <w:rsid w:val="00DE28AA"/>
    <w:rsid w:val="00DE2D17"/>
    <w:rsid w:val="00DE47B3"/>
    <w:rsid w:val="00DE4AD6"/>
    <w:rsid w:val="00DE4C84"/>
    <w:rsid w:val="00DE4FFC"/>
    <w:rsid w:val="00DE507C"/>
    <w:rsid w:val="00DE5865"/>
    <w:rsid w:val="00DE6C1C"/>
    <w:rsid w:val="00DE7D04"/>
    <w:rsid w:val="00DF081D"/>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10961"/>
    <w:rsid w:val="00E10A94"/>
    <w:rsid w:val="00E10DA6"/>
    <w:rsid w:val="00E1161A"/>
    <w:rsid w:val="00E134F2"/>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63F0"/>
    <w:rsid w:val="00E2678C"/>
    <w:rsid w:val="00E272C2"/>
    <w:rsid w:val="00E27A71"/>
    <w:rsid w:val="00E306EA"/>
    <w:rsid w:val="00E31AE0"/>
    <w:rsid w:val="00E32312"/>
    <w:rsid w:val="00E336EB"/>
    <w:rsid w:val="00E3662B"/>
    <w:rsid w:val="00E401D2"/>
    <w:rsid w:val="00E41391"/>
    <w:rsid w:val="00E4156B"/>
    <w:rsid w:val="00E420F3"/>
    <w:rsid w:val="00E42E3C"/>
    <w:rsid w:val="00E43012"/>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5702"/>
    <w:rsid w:val="00E65EC3"/>
    <w:rsid w:val="00E65FA5"/>
    <w:rsid w:val="00E65FE6"/>
    <w:rsid w:val="00E66829"/>
    <w:rsid w:val="00E7106F"/>
    <w:rsid w:val="00E711DF"/>
    <w:rsid w:val="00E7152D"/>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B91"/>
    <w:rsid w:val="00E828D0"/>
    <w:rsid w:val="00E8388E"/>
    <w:rsid w:val="00E83C96"/>
    <w:rsid w:val="00E87735"/>
    <w:rsid w:val="00E901BB"/>
    <w:rsid w:val="00E907F2"/>
    <w:rsid w:val="00E91409"/>
    <w:rsid w:val="00E9144C"/>
    <w:rsid w:val="00E91A3E"/>
    <w:rsid w:val="00E9218C"/>
    <w:rsid w:val="00E93691"/>
    <w:rsid w:val="00E94AB9"/>
    <w:rsid w:val="00E94F0D"/>
    <w:rsid w:val="00E95C81"/>
    <w:rsid w:val="00E95F24"/>
    <w:rsid w:val="00E96F5F"/>
    <w:rsid w:val="00E97492"/>
    <w:rsid w:val="00E979D5"/>
    <w:rsid w:val="00E97F21"/>
    <w:rsid w:val="00EA011C"/>
    <w:rsid w:val="00EA199E"/>
    <w:rsid w:val="00EA245F"/>
    <w:rsid w:val="00EA47C5"/>
    <w:rsid w:val="00EA556F"/>
    <w:rsid w:val="00EA5D7A"/>
    <w:rsid w:val="00EA717E"/>
    <w:rsid w:val="00EA7B76"/>
    <w:rsid w:val="00EB00A1"/>
    <w:rsid w:val="00EB2906"/>
    <w:rsid w:val="00EB2AA1"/>
    <w:rsid w:val="00EB36B4"/>
    <w:rsid w:val="00EB407E"/>
    <w:rsid w:val="00EB416C"/>
    <w:rsid w:val="00EB5750"/>
    <w:rsid w:val="00EB5BB6"/>
    <w:rsid w:val="00EB62FE"/>
    <w:rsid w:val="00EB6AAA"/>
    <w:rsid w:val="00EC0E29"/>
    <w:rsid w:val="00EC2250"/>
    <w:rsid w:val="00EC3831"/>
    <w:rsid w:val="00EC3E8A"/>
    <w:rsid w:val="00EC4018"/>
    <w:rsid w:val="00EC4AF7"/>
    <w:rsid w:val="00EC6633"/>
    <w:rsid w:val="00EC6FA8"/>
    <w:rsid w:val="00EC7F56"/>
    <w:rsid w:val="00ED0068"/>
    <w:rsid w:val="00ED1207"/>
    <w:rsid w:val="00ED16E4"/>
    <w:rsid w:val="00ED3A04"/>
    <w:rsid w:val="00ED41C5"/>
    <w:rsid w:val="00ED430E"/>
    <w:rsid w:val="00ED5AEA"/>
    <w:rsid w:val="00ED5D2E"/>
    <w:rsid w:val="00ED6E6A"/>
    <w:rsid w:val="00ED774F"/>
    <w:rsid w:val="00EE007A"/>
    <w:rsid w:val="00EE0AA7"/>
    <w:rsid w:val="00EE1CCC"/>
    <w:rsid w:val="00EE22D4"/>
    <w:rsid w:val="00EE36DF"/>
    <w:rsid w:val="00EE37F1"/>
    <w:rsid w:val="00EE3A66"/>
    <w:rsid w:val="00EE3B18"/>
    <w:rsid w:val="00EE44EE"/>
    <w:rsid w:val="00EE47B8"/>
    <w:rsid w:val="00EE4CDF"/>
    <w:rsid w:val="00EE4FEA"/>
    <w:rsid w:val="00EE7112"/>
    <w:rsid w:val="00EE7CD1"/>
    <w:rsid w:val="00EF10D6"/>
    <w:rsid w:val="00EF2866"/>
    <w:rsid w:val="00EF327A"/>
    <w:rsid w:val="00EF3550"/>
    <w:rsid w:val="00EF3B7E"/>
    <w:rsid w:val="00EF3DF0"/>
    <w:rsid w:val="00EF44AB"/>
    <w:rsid w:val="00EF472C"/>
    <w:rsid w:val="00EF48BD"/>
    <w:rsid w:val="00EF5973"/>
    <w:rsid w:val="00EF5B80"/>
    <w:rsid w:val="00EF5C44"/>
    <w:rsid w:val="00EF7122"/>
    <w:rsid w:val="00EF7421"/>
    <w:rsid w:val="00EF7523"/>
    <w:rsid w:val="00EF7804"/>
    <w:rsid w:val="00EF786D"/>
    <w:rsid w:val="00EF7C2C"/>
    <w:rsid w:val="00F0266D"/>
    <w:rsid w:val="00F02D82"/>
    <w:rsid w:val="00F02FFD"/>
    <w:rsid w:val="00F045A5"/>
    <w:rsid w:val="00F0581A"/>
    <w:rsid w:val="00F06B34"/>
    <w:rsid w:val="00F0730A"/>
    <w:rsid w:val="00F07CFC"/>
    <w:rsid w:val="00F10055"/>
    <w:rsid w:val="00F152AE"/>
    <w:rsid w:val="00F153D1"/>
    <w:rsid w:val="00F16C58"/>
    <w:rsid w:val="00F21166"/>
    <w:rsid w:val="00F222D3"/>
    <w:rsid w:val="00F23E23"/>
    <w:rsid w:val="00F24293"/>
    <w:rsid w:val="00F24529"/>
    <w:rsid w:val="00F24602"/>
    <w:rsid w:val="00F25295"/>
    <w:rsid w:val="00F26307"/>
    <w:rsid w:val="00F26FBB"/>
    <w:rsid w:val="00F273F6"/>
    <w:rsid w:val="00F27D5A"/>
    <w:rsid w:val="00F31139"/>
    <w:rsid w:val="00F31F75"/>
    <w:rsid w:val="00F325B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5939"/>
    <w:rsid w:val="00F45E29"/>
    <w:rsid w:val="00F474E0"/>
    <w:rsid w:val="00F5101A"/>
    <w:rsid w:val="00F51FAD"/>
    <w:rsid w:val="00F5270A"/>
    <w:rsid w:val="00F52A24"/>
    <w:rsid w:val="00F52DB8"/>
    <w:rsid w:val="00F5453D"/>
    <w:rsid w:val="00F547E8"/>
    <w:rsid w:val="00F56CDD"/>
    <w:rsid w:val="00F600AE"/>
    <w:rsid w:val="00F6017C"/>
    <w:rsid w:val="00F60DD4"/>
    <w:rsid w:val="00F60E55"/>
    <w:rsid w:val="00F60F22"/>
    <w:rsid w:val="00F618CC"/>
    <w:rsid w:val="00F61B4E"/>
    <w:rsid w:val="00F61C58"/>
    <w:rsid w:val="00F63529"/>
    <w:rsid w:val="00F63DD9"/>
    <w:rsid w:val="00F7048F"/>
    <w:rsid w:val="00F70C15"/>
    <w:rsid w:val="00F70D0E"/>
    <w:rsid w:val="00F71527"/>
    <w:rsid w:val="00F725EF"/>
    <w:rsid w:val="00F73787"/>
    <w:rsid w:val="00F739A9"/>
    <w:rsid w:val="00F73ACC"/>
    <w:rsid w:val="00F7554D"/>
    <w:rsid w:val="00F75BE5"/>
    <w:rsid w:val="00F761B1"/>
    <w:rsid w:val="00F7762A"/>
    <w:rsid w:val="00F80D78"/>
    <w:rsid w:val="00F8157C"/>
    <w:rsid w:val="00F81E5B"/>
    <w:rsid w:val="00F843EB"/>
    <w:rsid w:val="00F8506D"/>
    <w:rsid w:val="00F8556F"/>
    <w:rsid w:val="00F85FA8"/>
    <w:rsid w:val="00F8657F"/>
    <w:rsid w:val="00F86815"/>
    <w:rsid w:val="00F86B59"/>
    <w:rsid w:val="00F86BA5"/>
    <w:rsid w:val="00F90F53"/>
    <w:rsid w:val="00F91278"/>
    <w:rsid w:val="00F926F1"/>
    <w:rsid w:val="00F92993"/>
    <w:rsid w:val="00F92EA8"/>
    <w:rsid w:val="00F93369"/>
    <w:rsid w:val="00F94D0C"/>
    <w:rsid w:val="00F95C68"/>
    <w:rsid w:val="00F95E65"/>
    <w:rsid w:val="00F963CF"/>
    <w:rsid w:val="00F9756F"/>
    <w:rsid w:val="00F97B9C"/>
    <w:rsid w:val="00FA035F"/>
    <w:rsid w:val="00FA0906"/>
    <w:rsid w:val="00FA10C5"/>
    <w:rsid w:val="00FA225D"/>
    <w:rsid w:val="00FA39D5"/>
    <w:rsid w:val="00FA3A2E"/>
    <w:rsid w:val="00FA42AD"/>
    <w:rsid w:val="00FA4651"/>
    <w:rsid w:val="00FA5AFF"/>
    <w:rsid w:val="00FA6989"/>
    <w:rsid w:val="00FB0BF3"/>
    <w:rsid w:val="00FB15C2"/>
    <w:rsid w:val="00FB2D74"/>
    <w:rsid w:val="00FB307C"/>
    <w:rsid w:val="00FB45D0"/>
    <w:rsid w:val="00FB5507"/>
    <w:rsid w:val="00FB5BF0"/>
    <w:rsid w:val="00FB6031"/>
    <w:rsid w:val="00FB7BE3"/>
    <w:rsid w:val="00FC077E"/>
    <w:rsid w:val="00FC0DA8"/>
    <w:rsid w:val="00FC1508"/>
    <w:rsid w:val="00FC1A14"/>
    <w:rsid w:val="00FC2C17"/>
    <w:rsid w:val="00FC33B5"/>
    <w:rsid w:val="00FC72E9"/>
    <w:rsid w:val="00FD17DB"/>
    <w:rsid w:val="00FD2D1F"/>
    <w:rsid w:val="00FD38CD"/>
    <w:rsid w:val="00FD3A31"/>
    <w:rsid w:val="00FD3F6A"/>
    <w:rsid w:val="00FD3FEC"/>
    <w:rsid w:val="00FD4746"/>
    <w:rsid w:val="00FD5C28"/>
    <w:rsid w:val="00FD60AE"/>
    <w:rsid w:val="00FD6C0E"/>
    <w:rsid w:val="00FD6DD0"/>
    <w:rsid w:val="00FD7857"/>
    <w:rsid w:val="00FE08A0"/>
    <w:rsid w:val="00FE1A3B"/>
    <w:rsid w:val="00FE1A3E"/>
    <w:rsid w:val="00FE2F51"/>
    <w:rsid w:val="00FE3619"/>
    <w:rsid w:val="00FE3DB8"/>
    <w:rsid w:val="00FE4024"/>
    <w:rsid w:val="00FE423B"/>
    <w:rsid w:val="00FE46B3"/>
    <w:rsid w:val="00FE48FC"/>
    <w:rsid w:val="00FE565F"/>
    <w:rsid w:val="00FE640A"/>
    <w:rsid w:val="00FE7B9C"/>
    <w:rsid w:val="00FE7BFD"/>
    <w:rsid w:val="00FE7FF6"/>
    <w:rsid w:val="00FF06C0"/>
    <w:rsid w:val="00FF0DE4"/>
    <w:rsid w:val="00FF143C"/>
    <w:rsid w:val="00FF1767"/>
    <w:rsid w:val="00FF20F3"/>
    <w:rsid w:val="00FF3E1E"/>
    <w:rsid w:val="00FF3E21"/>
    <w:rsid w:val="00FF4908"/>
    <w:rsid w:val="00FF4B3D"/>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BCD9DD"/>
  <w15:docId w15:val="{40A472DB-3B3B-4170-8E35-47948F5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1DEDBB00-DB20-4574-8852-955E43709EC0}">
  <ds:schemaRefs>
    <ds:schemaRef ds:uri="http://schemas.openxmlformats.org/officeDocument/2006/bibliography"/>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7500</Words>
  <Characters>42755</Characters>
  <Application>Microsoft Office Word</Application>
  <DocSecurity>0</DocSecurity>
  <Lines>356</Lines>
  <Paragraphs>100</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Here is some text</vt:lpstr>
      <vt:lpstr>    CR-05 - Goals and Outcomes</vt:lpstr>
      <vt:lpstr>    CR-10 - Racial and Ethnic composition of families assisted</vt:lpstr>
      <vt:lpstr>    CR-15 - Resources and Investments 91.520(a)</vt:lpstr>
      <vt:lpstr>    CR-20 - Affordable Housing 91.520(b)</vt:lpstr>
      <vt:lpstr>    </vt:lpstr>
      <vt:lpstr>    CR-25 - Homeless and Other Special Needs 91.220(d, e); 91.320(d, e); 91.520(c)</vt:lpstr>
      <vt:lpstr>    CR-30 - Public Housing 91.220(h); 91.320(j)</vt:lpstr>
      <vt:lpstr>    CR-35 - Other Actions 91.220(j)-(k); 91.320(i)-(j)</vt:lpstr>
      <vt:lpstr>    CR-40 - Monitoring 91.220 and 91.230</vt:lpstr>
      <vt:lpstr>    CR-45 - CDBG 91.520(c)</vt:lpstr>
      <vt:lpstr>    CR-50 - HOME 24 CFR 91.520(d)</vt:lpstr>
      <vt:lpstr>    CR-55 - HOPWA 91.520(e)</vt:lpstr>
      <vt:lpstr>    CR-56 - HTF 91.520(h)</vt:lpstr>
      <vt:lpstr>    CR-58 – Section 3</vt:lpstr>
      <vt:lpstr>    CR-60 - ESG 91.520(g) (ESG Recipients only)</vt:lpstr>
      <vt:lpstr>    CR-65 - Persons Assisted</vt:lpstr>
      <vt:lpstr>    CR-70 – ESG 91.520(g) - Assistance Provided and Outcomes</vt:lpstr>
      <vt:lpstr>    CR-75 – Expenditures</vt:lpstr>
    </vt:vector>
  </TitlesOfParts>
  <Company>Microsoft</Company>
  <LinksUpToDate>false</LinksUpToDate>
  <CharactersWithSpaces>50155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Hale, Haley</cp:lastModifiedBy>
  <cp:revision>2</cp:revision>
  <dcterms:created xsi:type="dcterms:W3CDTF">2025-08-22T21:22:00Z</dcterms:created>
  <dcterms:modified xsi:type="dcterms:W3CDTF">2025-08-22T21:22:00Z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2025-08-22T21:22:03Z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f3c7146a-610c-4fe7-86d0-3e4647a01488</vt:lpwstr>
  </property>
  <property fmtid="{D5CDD505-2E9C-101B-9397-08002B2CF9AE}" pid="7" name="MSIP_Label_defa4170-0d19-0005-0004-bc88714345d2_ActionId">
    <vt:lpwstr>54b9b881-f8d3-4e71-a515-1ecb2fad30e8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